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tc>
          <w:tcPr>
            <w:tcW w:w="10892" w:type="dxa"/>
          </w:tcPr>
          <w:p w:rsidR="00FC0533" w:rsidRPr="009E56C9" w:rsidRDefault="00BC5634" w:rsidP="006066DD">
            <w:pPr>
              <w:spacing w:after="0" w:line="240" w:lineRule="auto"/>
              <w:contextualSpacing/>
              <w:jc w:val="center"/>
            </w:pPr>
            <w:r w:rsidRPr="00BC5634">
              <w:t xml:space="preserve">Aquisição de </w:t>
            </w:r>
            <w:r w:rsidR="00B16C17">
              <w:t xml:space="preserve">material </w:t>
            </w:r>
            <w:r w:rsidR="006066DD">
              <w:t>para instalação de</w:t>
            </w:r>
            <w:r w:rsidR="00B16C17">
              <w:t xml:space="preserve"> cabeamento estruturado</w:t>
            </w:r>
          </w:p>
        </w:tc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BC5634" w:rsidP="00BC5634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Arthur Vasconcelos Lins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BDD" w:rsidRPr="0065641F" w:rsidRDefault="00AD3497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hyperlink r:id="rId8" w:history="1">
              <w:r w:rsidR="00BC5634" w:rsidRPr="00D72236">
                <w:rPr>
                  <w:rStyle w:val="Hyperlink"/>
                  <w:sz w:val="18"/>
                  <w:szCs w:val="18"/>
                </w:rPr>
                <w:t>arthur.lins@tjpe.jus.br</w:t>
              </w:r>
            </w:hyperlink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3181-0047</w:t>
            </w:r>
          </w:p>
        </w:tc>
      </w:tr>
      <w:tr w:rsidR="0065641F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65641F" w:rsidRPr="00581D72" w:rsidRDefault="0065641F" w:rsidP="00A74BDD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A373F" w:rsidRPr="0058716C" w:rsidRDefault="00650B4D" w:rsidP="00764034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B4D">
              <w:rPr>
                <w:sz w:val="20"/>
                <w:szCs w:val="20"/>
              </w:rPr>
              <w:t xml:space="preserve">Aquisição </w:t>
            </w:r>
            <w:r w:rsidR="006003BD">
              <w:rPr>
                <w:sz w:val="20"/>
                <w:szCs w:val="20"/>
              </w:rPr>
              <w:t xml:space="preserve">material </w:t>
            </w:r>
            <w:r w:rsidRPr="00650B4D">
              <w:rPr>
                <w:sz w:val="20"/>
                <w:szCs w:val="20"/>
              </w:rPr>
              <w:t>para a expansão e manutenção d</w:t>
            </w:r>
            <w:r>
              <w:rPr>
                <w:sz w:val="20"/>
                <w:szCs w:val="20"/>
              </w:rPr>
              <w:t>a</w:t>
            </w:r>
            <w:r w:rsidRPr="00650B4D">
              <w:rPr>
                <w:sz w:val="20"/>
                <w:szCs w:val="20"/>
              </w:rPr>
              <w:t xml:space="preserve"> rede de dados do TJPE.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58716C" w:rsidRDefault="00650B4D" w:rsidP="008909E7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B4D">
              <w:rPr>
                <w:sz w:val="20"/>
                <w:szCs w:val="20"/>
              </w:rPr>
              <w:t xml:space="preserve">A aquisição </w:t>
            </w:r>
            <w:r w:rsidR="006003BD">
              <w:rPr>
                <w:sz w:val="20"/>
                <w:szCs w:val="20"/>
              </w:rPr>
              <w:t>é</w:t>
            </w:r>
            <w:r w:rsidRPr="00650B4D">
              <w:rPr>
                <w:sz w:val="20"/>
                <w:szCs w:val="20"/>
              </w:rPr>
              <w:t xml:space="preserve"> necessári</w:t>
            </w:r>
            <w:r w:rsidR="006003BD">
              <w:rPr>
                <w:sz w:val="20"/>
                <w:szCs w:val="20"/>
              </w:rPr>
              <w:t>a</w:t>
            </w:r>
            <w:r w:rsidRPr="00650B4D">
              <w:rPr>
                <w:sz w:val="20"/>
                <w:szCs w:val="20"/>
              </w:rPr>
              <w:t xml:space="preserve"> para criação </w:t>
            </w:r>
            <w:r w:rsidR="006003BD">
              <w:rPr>
                <w:sz w:val="20"/>
                <w:szCs w:val="20"/>
              </w:rPr>
              <w:t>e manutenção de pontos de rede</w:t>
            </w:r>
            <w:r w:rsidR="00F80F19">
              <w:rPr>
                <w:sz w:val="20"/>
                <w:szCs w:val="20"/>
              </w:rPr>
              <w:t>,</w:t>
            </w:r>
            <w:r w:rsidR="006003BD">
              <w:rPr>
                <w:sz w:val="20"/>
                <w:szCs w:val="20"/>
              </w:rPr>
              <w:t xml:space="preserve"> </w:t>
            </w:r>
            <w:r w:rsidR="006003BD" w:rsidRPr="00650B4D">
              <w:rPr>
                <w:sz w:val="20"/>
                <w:szCs w:val="20"/>
              </w:rPr>
              <w:t>em atendimento às demandas</w:t>
            </w:r>
            <w:r w:rsidR="00F80F19">
              <w:rPr>
                <w:sz w:val="20"/>
                <w:szCs w:val="20"/>
              </w:rPr>
              <w:t xml:space="preserve"> do TJPE</w:t>
            </w:r>
            <w:r w:rsidR="006003BD">
              <w:rPr>
                <w:sz w:val="20"/>
                <w:szCs w:val="20"/>
              </w:rPr>
              <w:t xml:space="preserve"> de criação de novas unidades </w:t>
            </w:r>
            <w:r w:rsidR="00F80F19">
              <w:rPr>
                <w:sz w:val="20"/>
                <w:szCs w:val="20"/>
              </w:rPr>
              <w:t>judiciais ou administrativas</w:t>
            </w:r>
            <w:r w:rsidR="006003BD">
              <w:rPr>
                <w:sz w:val="20"/>
                <w:szCs w:val="20"/>
              </w:rPr>
              <w:t>, além da realização de a</w:t>
            </w:r>
            <w:r w:rsidRPr="00650B4D">
              <w:rPr>
                <w:sz w:val="20"/>
                <w:szCs w:val="20"/>
              </w:rPr>
              <w:t>lterações de layout de unidades já existentes.</w:t>
            </w:r>
            <w:r w:rsidR="008909E7">
              <w:rPr>
                <w:sz w:val="20"/>
                <w:szCs w:val="20"/>
              </w:rPr>
              <w:t xml:space="preserve"> Atualmente já demanda para obras já previstas como: Fórum de Glória do Goitá, reforma do Fórum de Vitória, reforma do Fórum do Pombos, reforma do Fórum de Vicência, reforma do Fórum de Goiana, reforma do Fórum de Amaraji e novos gabinetes de desembargadores.</w:t>
            </w:r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650B4D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650B4D">
        <w:rPr>
          <w:sz w:val="20"/>
          <w:szCs w:val="20"/>
        </w:rPr>
        <w:t xml:space="preserve">Benefícios da </w:t>
      </w:r>
      <w:r w:rsidR="007A1355" w:rsidRPr="00650B4D">
        <w:rPr>
          <w:sz w:val="20"/>
          <w:szCs w:val="20"/>
        </w:rPr>
        <w:t>Demanda</w:t>
      </w:r>
      <w:r w:rsidRPr="00650B4D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B15FF" w:rsidRDefault="00650B4D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B4D">
              <w:rPr>
                <w:sz w:val="20"/>
                <w:szCs w:val="20"/>
              </w:rPr>
              <w:t>A rede de dados do Tribunal de Justiça de Pernambuco é composta por um conjunto de equipamentos interconectados que são instalados nas dependências do tribunal, esta rede permite a comunicação necessária para acesso à internet e funcionamento de diversos sistemas utilizados na prestação dos serviços jurisdicionais</w:t>
            </w:r>
            <w:r>
              <w:rPr>
                <w:sz w:val="20"/>
                <w:szCs w:val="20"/>
              </w:rPr>
              <w:t xml:space="preserve">, dentre eles podemos destacar o JUDWIN (1º e 2º Grau) e Processo Judicial Eletrônico - </w:t>
            </w:r>
            <w:proofErr w:type="spellStart"/>
            <w:r>
              <w:rPr>
                <w:sz w:val="20"/>
                <w:szCs w:val="20"/>
              </w:rPr>
              <w:t>PJe</w:t>
            </w:r>
            <w:proofErr w:type="spellEnd"/>
            <w:r w:rsidRPr="00650B4D">
              <w:rPr>
                <w:sz w:val="20"/>
                <w:szCs w:val="20"/>
              </w:rPr>
              <w:t xml:space="preserve">. </w:t>
            </w:r>
          </w:p>
          <w:p w:rsidR="00650B4D" w:rsidRPr="00650B4D" w:rsidRDefault="00650B4D" w:rsidP="005B15F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Desta forma, a aquisição deste material se faz necessária para</w:t>
            </w:r>
            <w:r w:rsidR="005B15FF">
              <w:rPr>
                <w:sz w:val="20"/>
                <w:szCs w:val="20"/>
              </w:rPr>
              <w:t xml:space="preserve"> atendimento às demandas de manutenção da rede de dados do TJPE, com o objetivo de</w:t>
            </w:r>
            <w:r>
              <w:rPr>
                <w:sz w:val="20"/>
                <w:szCs w:val="20"/>
              </w:rPr>
              <w:t xml:space="preserve"> garantir a continuidade dos serviços </w:t>
            </w:r>
            <w:r w:rsidR="005B15FF" w:rsidRPr="00650B4D">
              <w:rPr>
                <w:sz w:val="20"/>
                <w:szCs w:val="20"/>
              </w:rPr>
              <w:t>de TIC que suportam as atividades de prestação de justiça à sociedade Pernambucana</w:t>
            </w:r>
            <w:r w:rsidR="005B15FF">
              <w:rPr>
                <w:sz w:val="20"/>
                <w:szCs w:val="20"/>
              </w:rPr>
              <w:t>.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9"/>
          <w:foot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D4379E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</w:t>
            </w:r>
            <w:r w:rsidR="00BA373F">
              <w:rPr>
                <w:sz w:val="20"/>
                <w:szCs w:val="20"/>
              </w:rPr>
              <w:t>IC (</w:t>
            </w:r>
            <w:r>
              <w:rPr>
                <w:sz w:val="20"/>
                <w:szCs w:val="20"/>
              </w:rPr>
              <w:t>PDTIC)</w:t>
            </w:r>
            <w:r w:rsidR="005B251D" w:rsidRPr="009E56C9">
              <w:rPr>
                <w:sz w:val="20"/>
                <w:szCs w:val="20"/>
              </w:rPr>
              <w:t xml:space="preserve"> 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996A21">
        <w:tc>
          <w:tcPr>
            <w:tcW w:w="3794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p w:rsidR="00E445CF" w:rsidRDefault="00E445CF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lastRenderedPageBreak/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9E56C9" w:rsidRDefault="006066D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6066D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Juliana Neiva de </w:t>
            </w:r>
            <w:proofErr w:type="spellStart"/>
            <w:r>
              <w:rPr>
                <w:sz w:val="16"/>
                <w:szCs w:val="16"/>
              </w:rPr>
              <w:t>Gouvea</w:t>
            </w:r>
            <w:proofErr w:type="spellEnd"/>
            <w:r>
              <w:rPr>
                <w:sz w:val="16"/>
                <w:szCs w:val="16"/>
              </w:rPr>
              <w:t xml:space="preserve"> Ribeiro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9E56C9" w:rsidRDefault="005E194D" w:rsidP="0060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6066DD">
              <w:rPr>
                <w:sz w:val="16"/>
                <w:szCs w:val="16"/>
              </w:rPr>
              <w:t>181499-0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F615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F6157C">
              <w:rPr>
                <w:sz w:val="16"/>
                <w:szCs w:val="16"/>
              </w:rPr>
              <w:t>183825-3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5E194D" w:rsidP="005E19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5E194D">
              <w:rPr>
                <w:b/>
                <w:sz w:val="16"/>
                <w:szCs w:val="16"/>
              </w:rPr>
              <w:t>Recif</w:t>
            </w:r>
            <w:r w:rsidR="006066DD">
              <w:rPr>
                <w:b/>
                <w:sz w:val="16"/>
                <w:szCs w:val="16"/>
              </w:rPr>
              <w:t xml:space="preserve">e,   </w:t>
            </w:r>
            <w:proofErr w:type="gramEnd"/>
            <w:r w:rsidR="006066DD">
              <w:rPr>
                <w:b/>
                <w:sz w:val="16"/>
                <w:szCs w:val="16"/>
              </w:rPr>
              <w:t xml:space="preserve">    de              </w:t>
            </w:r>
            <w:proofErr w:type="spellStart"/>
            <w:r w:rsidR="006066DD">
              <w:rPr>
                <w:b/>
                <w:sz w:val="16"/>
                <w:szCs w:val="16"/>
              </w:rPr>
              <w:t>de</w:t>
            </w:r>
            <w:proofErr w:type="spellEnd"/>
            <w:r w:rsidR="006066DD">
              <w:rPr>
                <w:b/>
                <w:sz w:val="16"/>
                <w:szCs w:val="16"/>
              </w:rPr>
              <w:t xml:space="preserve"> 2017</w:t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E445CF" w:rsidRPr="009E56C9" w:rsidRDefault="006066DD" w:rsidP="00E445CF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lastRenderedPageBreak/>
        <w:t xml:space="preserve">Aquisição de </w:t>
      </w:r>
      <w:r>
        <w:t>material para instalação de cabeamento estruturado</w:t>
      </w:r>
    </w:p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W w:w="10376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5581"/>
        <w:gridCol w:w="1417"/>
        <w:gridCol w:w="1843"/>
      </w:tblGrid>
      <w:tr w:rsidR="009A136E" w:rsidRPr="009F2568" w:rsidTr="00AD3497">
        <w:trPr>
          <w:cantSplit/>
          <w:trHeight w:val="495"/>
        </w:trPr>
        <w:tc>
          <w:tcPr>
            <w:tcW w:w="1535" w:type="dxa"/>
            <w:shd w:val="clear" w:color="auto" w:fill="auto"/>
            <w:noWrap/>
            <w:vAlign w:val="center"/>
          </w:tcPr>
          <w:p w:rsidR="009A136E" w:rsidRPr="009F2568" w:rsidRDefault="009A136E" w:rsidP="006003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bookmarkStart w:id="8" w:name="RANGE!A2"/>
            <w:r w:rsidRPr="009F2568">
              <w:rPr>
                <w:rFonts w:cs="Arial"/>
                <w:b/>
                <w:bCs/>
                <w:sz w:val="18"/>
                <w:szCs w:val="18"/>
              </w:rPr>
              <w:t>ITEM</w:t>
            </w:r>
            <w:bookmarkEnd w:id="8"/>
          </w:p>
        </w:tc>
        <w:tc>
          <w:tcPr>
            <w:tcW w:w="5581" w:type="dxa"/>
            <w:shd w:val="clear" w:color="auto" w:fill="auto"/>
            <w:noWrap/>
            <w:vAlign w:val="center"/>
          </w:tcPr>
          <w:p w:rsidR="009A136E" w:rsidRPr="009F2568" w:rsidRDefault="009A136E" w:rsidP="006003B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2568">
              <w:rPr>
                <w:rFonts w:cs="Arial"/>
                <w:b/>
                <w:bCs/>
                <w:sz w:val="18"/>
                <w:szCs w:val="18"/>
              </w:rPr>
              <w:t>DESCRICAO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36E" w:rsidRPr="009F2568" w:rsidRDefault="009A136E" w:rsidP="006003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36E" w:rsidRPr="009F2568" w:rsidRDefault="009A136E" w:rsidP="006003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F2568">
              <w:rPr>
                <w:rFonts w:cs="Arial"/>
                <w:b/>
                <w:bCs/>
                <w:sz w:val="18"/>
                <w:szCs w:val="18"/>
              </w:rPr>
              <w:t>UNIDADE</w:t>
            </w:r>
          </w:p>
        </w:tc>
      </w:tr>
      <w:tr w:rsidR="009A136E" w:rsidRPr="009F2568" w:rsidTr="00AD3497">
        <w:trPr>
          <w:cantSplit/>
          <w:trHeight w:val="464"/>
        </w:trPr>
        <w:tc>
          <w:tcPr>
            <w:tcW w:w="1535" w:type="dxa"/>
            <w:shd w:val="clear" w:color="auto" w:fill="auto"/>
            <w:noWrap/>
            <w:vAlign w:val="center"/>
          </w:tcPr>
          <w:p w:rsidR="009A136E" w:rsidRPr="009F2568" w:rsidRDefault="009A136E" w:rsidP="006003BD">
            <w:pPr>
              <w:jc w:val="center"/>
              <w:rPr>
                <w:rFonts w:cs="Arial"/>
                <w:sz w:val="18"/>
                <w:szCs w:val="18"/>
              </w:rPr>
            </w:pPr>
            <w:r w:rsidRPr="009F2568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9A136E" w:rsidRPr="008909E7" w:rsidRDefault="000D340D" w:rsidP="002D1A7B">
            <w:pPr>
              <w:rPr>
                <w:rFonts w:cs="Arial"/>
                <w:color w:val="000000"/>
                <w:sz w:val="18"/>
                <w:szCs w:val="18"/>
              </w:rPr>
            </w:pPr>
            <w:r w:rsidRPr="008909E7">
              <w:rPr>
                <w:sz w:val="18"/>
                <w:szCs w:val="18"/>
              </w:rPr>
              <w:t xml:space="preserve">Canaleta </w:t>
            </w:r>
            <w:r w:rsidR="00272228">
              <w:rPr>
                <w:sz w:val="18"/>
                <w:szCs w:val="18"/>
              </w:rPr>
              <w:t xml:space="preserve">de PVC </w:t>
            </w:r>
            <w:proofErr w:type="spellStart"/>
            <w:r w:rsidR="002D1A7B">
              <w:rPr>
                <w:sz w:val="18"/>
                <w:szCs w:val="18"/>
              </w:rPr>
              <w:t>antichama</w:t>
            </w:r>
            <w:proofErr w:type="spellEnd"/>
            <w:r w:rsidR="002D1A7B">
              <w:rPr>
                <w:sz w:val="18"/>
                <w:szCs w:val="18"/>
              </w:rPr>
              <w:t>, t</w:t>
            </w:r>
            <w:r w:rsidR="00272228">
              <w:rPr>
                <w:sz w:val="18"/>
                <w:szCs w:val="18"/>
              </w:rPr>
              <w:t xml:space="preserve">ipo </w:t>
            </w:r>
            <w:proofErr w:type="spellStart"/>
            <w:r w:rsidR="00272228">
              <w:rPr>
                <w:sz w:val="18"/>
                <w:szCs w:val="18"/>
              </w:rPr>
              <w:t>Hellermanntyton</w:t>
            </w:r>
            <w:proofErr w:type="spellEnd"/>
            <w:r w:rsidR="002D1A7B">
              <w:rPr>
                <w:sz w:val="18"/>
                <w:szCs w:val="18"/>
              </w:rPr>
              <w:t>,</w:t>
            </w:r>
            <w:r w:rsidR="00B26732">
              <w:rPr>
                <w:sz w:val="18"/>
                <w:szCs w:val="18"/>
              </w:rPr>
              <w:t xml:space="preserve"> </w:t>
            </w:r>
            <w:proofErr w:type="spellStart"/>
            <w:r w:rsidR="00B26732">
              <w:rPr>
                <w:sz w:val="18"/>
                <w:szCs w:val="18"/>
              </w:rPr>
              <w:t>Dutoplast</w:t>
            </w:r>
            <w:proofErr w:type="spellEnd"/>
            <w:r w:rsidR="00B26732">
              <w:rPr>
                <w:sz w:val="18"/>
                <w:szCs w:val="18"/>
              </w:rPr>
              <w:t xml:space="preserve"> ou similar </w:t>
            </w:r>
            <w:r w:rsidR="00272228">
              <w:rPr>
                <w:sz w:val="18"/>
                <w:szCs w:val="18"/>
              </w:rPr>
              <w:t>50mm x 50mm x 2 m, fechada</w:t>
            </w:r>
            <w:r w:rsidR="002D1A7B">
              <w:rPr>
                <w:sz w:val="18"/>
                <w:szCs w:val="18"/>
              </w:rPr>
              <w:t>, lisa, sem divisória interna</w:t>
            </w:r>
            <w:r w:rsidR="006066DD">
              <w:rPr>
                <w:sz w:val="18"/>
                <w:szCs w:val="18"/>
              </w:rPr>
              <w:t>,</w:t>
            </w:r>
            <w:r w:rsidR="00662CE8" w:rsidRPr="008909E7">
              <w:rPr>
                <w:sz w:val="18"/>
                <w:szCs w:val="18"/>
              </w:rPr>
              <w:t xml:space="preserve"> </w:t>
            </w:r>
            <w:r w:rsidR="00F6157C">
              <w:rPr>
                <w:sz w:val="18"/>
                <w:szCs w:val="18"/>
              </w:rPr>
              <w:t xml:space="preserve">com tampa, </w:t>
            </w:r>
            <w:r w:rsidR="00662CE8" w:rsidRPr="008909E7">
              <w:rPr>
                <w:sz w:val="18"/>
                <w:szCs w:val="18"/>
              </w:rPr>
              <w:t xml:space="preserve">na cor </w:t>
            </w:r>
            <w:r w:rsidR="00272228">
              <w:rPr>
                <w:sz w:val="18"/>
                <w:szCs w:val="18"/>
              </w:rPr>
              <w:t>creme</w:t>
            </w:r>
            <w:r w:rsidR="002D1A7B">
              <w:rPr>
                <w:sz w:val="18"/>
                <w:szCs w:val="18"/>
              </w:rPr>
              <w:t xml:space="preserve"> ou branca;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36E" w:rsidRPr="006066DD" w:rsidRDefault="008909E7" w:rsidP="006003BD">
            <w:pPr>
              <w:jc w:val="center"/>
              <w:rPr>
                <w:rFonts w:cs="Arial"/>
                <w:sz w:val="18"/>
                <w:szCs w:val="18"/>
              </w:rPr>
            </w:pPr>
            <w:r w:rsidRPr="006066DD">
              <w:rPr>
                <w:rFonts w:eastAsia="Arial" w:cs="Arial"/>
                <w:sz w:val="18"/>
                <w:szCs w:val="18"/>
              </w:rPr>
              <w:t>1200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36E" w:rsidRPr="006066DD" w:rsidRDefault="008909E7" w:rsidP="006003BD">
            <w:pPr>
              <w:jc w:val="center"/>
              <w:rPr>
                <w:rFonts w:cs="Arial"/>
                <w:sz w:val="18"/>
                <w:szCs w:val="18"/>
              </w:rPr>
            </w:pPr>
            <w:r w:rsidRPr="006066DD">
              <w:rPr>
                <w:rFonts w:cs="Arial"/>
                <w:sz w:val="18"/>
                <w:szCs w:val="18"/>
              </w:rPr>
              <w:t>Metro</w:t>
            </w:r>
          </w:p>
        </w:tc>
      </w:tr>
      <w:tr w:rsidR="009A136E" w:rsidRPr="009F2568" w:rsidTr="00AD3497">
        <w:trPr>
          <w:cantSplit/>
          <w:trHeight w:val="40"/>
        </w:trPr>
        <w:tc>
          <w:tcPr>
            <w:tcW w:w="1535" w:type="dxa"/>
            <w:shd w:val="clear" w:color="auto" w:fill="auto"/>
            <w:noWrap/>
            <w:vAlign w:val="center"/>
          </w:tcPr>
          <w:p w:rsidR="009A136E" w:rsidRPr="009F2568" w:rsidRDefault="009A136E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9A136E" w:rsidRPr="008909E7" w:rsidRDefault="002D1A7B" w:rsidP="002D1A7B">
            <w:pPr>
              <w:rPr>
                <w:rFonts w:cs="Arial"/>
                <w:sz w:val="18"/>
                <w:szCs w:val="18"/>
              </w:rPr>
            </w:pPr>
            <w:r w:rsidRPr="008909E7">
              <w:rPr>
                <w:sz w:val="18"/>
                <w:szCs w:val="18"/>
              </w:rPr>
              <w:t xml:space="preserve">Canaleta </w:t>
            </w:r>
            <w:r>
              <w:rPr>
                <w:sz w:val="18"/>
                <w:szCs w:val="18"/>
              </w:rPr>
              <w:t xml:space="preserve">de PVC </w:t>
            </w:r>
            <w:proofErr w:type="spellStart"/>
            <w:r>
              <w:rPr>
                <w:sz w:val="18"/>
                <w:szCs w:val="18"/>
              </w:rPr>
              <w:t>antichama</w:t>
            </w:r>
            <w:proofErr w:type="spellEnd"/>
            <w:r>
              <w:rPr>
                <w:sz w:val="18"/>
                <w:szCs w:val="18"/>
              </w:rPr>
              <w:t xml:space="preserve">, tipo </w:t>
            </w:r>
            <w:proofErr w:type="spellStart"/>
            <w:r>
              <w:rPr>
                <w:sz w:val="18"/>
                <w:szCs w:val="18"/>
              </w:rPr>
              <w:t>Hellermanntyton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Dutoplast</w:t>
            </w:r>
            <w:proofErr w:type="spellEnd"/>
            <w:r>
              <w:rPr>
                <w:sz w:val="18"/>
                <w:szCs w:val="18"/>
              </w:rPr>
              <w:t xml:space="preserve"> ou similar 30mm x 30mm x 2 m, fechada, lisa, sem divisória interna,</w:t>
            </w:r>
            <w:r w:rsidRPr="008909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 tampa, </w:t>
            </w:r>
            <w:r w:rsidRPr="008909E7">
              <w:rPr>
                <w:sz w:val="18"/>
                <w:szCs w:val="18"/>
              </w:rPr>
              <w:t xml:space="preserve">na cor </w:t>
            </w:r>
            <w:r>
              <w:rPr>
                <w:sz w:val="18"/>
                <w:szCs w:val="18"/>
              </w:rPr>
              <w:t>creme ou branca;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36E" w:rsidRPr="009F2568" w:rsidRDefault="008909E7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36E" w:rsidRPr="009F2568" w:rsidRDefault="008909E7" w:rsidP="006003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Metro</w:t>
            </w:r>
          </w:p>
        </w:tc>
      </w:tr>
      <w:tr w:rsidR="00EA6453" w:rsidRPr="009F2568" w:rsidTr="00AD3497">
        <w:trPr>
          <w:cantSplit/>
          <w:trHeight w:val="40"/>
        </w:trPr>
        <w:tc>
          <w:tcPr>
            <w:tcW w:w="1535" w:type="dxa"/>
            <w:shd w:val="clear" w:color="auto" w:fill="auto"/>
            <w:noWrap/>
            <w:vAlign w:val="center"/>
          </w:tcPr>
          <w:p w:rsidR="00EA6453" w:rsidRDefault="007860A1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EA6453" w:rsidRPr="00B16C17" w:rsidRDefault="000D340D" w:rsidP="00272228">
            <w:pPr>
              <w:rPr>
                <w:rFonts w:cs="Arial"/>
                <w:sz w:val="18"/>
                <w:szCs w:val="18"/>
              </w:rPr>
            </w:pPr>
            <w:r w:rsidRPr="000D340D">
              <w:rPr>
                <w:rFonts w:cs="Arial"/>
                <w:sz w:val="18"/>
                <w:szCs w:val="18"/>
              </w:rPr>
              <w:t xml:space="preserve">Parafuso </w:t>
            </w:r>
            <w:proofErr w:type="spellStart"/>
            <w:r w:rsidR="00302A4C">
              <w:rPr>
                <w:rFonts w:cs="Arial"/>
                <w:sz w:val="18"/>
                <w:szCs w:val="18"/>
              </w:rPr>
              <w:t>auto-</w:t>
            </w:r>
            <w:r w:rsidR="00272228">
              <w:rPr>
                <w:rFonts w:cs="Arial"/>
                <w:sz w:val="18"/>
                <w:szCs w:val="18"/>
              </w:rPr>
              <w:t>atarraxante</w:t>
            </w:r>
            <w:proofErr w:type="spellEnd"/>
            <w:r w:rsidR="00272228">
              <w:rPr>
                <w:rFonts w:cs="Arial"/>
                <w:sz w:val="18"/>
                <w:szCs w:val="18"/>
              </w:rPr>
              <w:t>, em aço</w:t>
            </w:r>
            <w:r w:rsidR="002D1A7B">
              <w:rPr>
                <w:rFonts w:cs="Arial"/>
                <w:sz w:val="18"/>
                <w:szCs w:val="18"/>
              </w:rPr>
              <w:t>,</w:t>
            </w:r>
            <w:r w:rsidR="0027222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cabeça de panela</w:t>
            </w:r>
            <w:r w:rsidR="00272228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72228">
              <w:rPr>
                <w:rFonts w:cs="Arial"/>
                <w:sz w:val="18"/>
                <w:szCs w:val="18"/>
              </w:rPr>
              <w:t xml:space="preserve">Philips, tamanho: </w:t>
            </w:r>
            <w:r w:rsidR="002D1A7B">
              <w:rPr>
                <w:rFonts w:cs="Arial"/>
                <w:sz w:val="18"/>
                <w:szCs w:val="18"/>
              </w:rPr>
              <w:t xml:space="preserve"> 4,8x50</w:t>
            </w:r>
            <w:r>
              <w:rPr>
                <w:rFonts w:cs="Arial"/>
                <w:sz w:val="18"/>
                <w:szCs w:val="18"/>
              </w:rPr>
              <w:t>mm</w:t>
            </w:r>
            <w:r w:rsidR="00F6157C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453" w:rsidRDefault="002D1A7B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21.</w:t>
            </w:r>
            <w:r w:rsidR="00EA6453">
              <w:rPr>
                <w:rFonts w:eastAsia="Arial"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453" w:rsidRPr="009F2568" w:rsidRDefault="00EA6453" w:rsidP="006003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EA6453" w:rsidRPr="009F2568" w:rsidTr="00AD3497">
        <w:trPr>
          <w:cantSplit/>
          <w:trHeight w:val="40"/>
        </w:trPr>
        <w:tc>
          <w:tcPr>
            <w:tcW w:w="1535" w:type="dxa"/>
            <w:shd w:val="clear" w:color="auto" w:fill="auto"/>
            <w:noWrap/>
            <w:vAlign w:val="center"/>
          </w:tcPr>
          <w:p w:rsidR="00EA6453" w:rsidRDefault="007860A1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EA6453" w:rsidRDefault="001C1D1E" w:rsidP="002D1A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Bucha para parafuso em nylon tipo Fischer </w:t>
            </w:r>
            <w:r w:rsidR="002D1A7B">
              <w:rPr>
                <w:rFonts w:cs="Arial"/>
                <w:sz w:val="18"/>
                <w:szCs w:val="18"/>
              </w:rPr>
              <w:t>SX 8</w:t>
            </w:r>
            <w:r w:rsidR="00AD3497">
              <w:rPr>
                <w:rFonts w:cs="Arial"/>
                <w:sz w:val="18"/>
                <w:szCs w:val="18"/>
              </w:rPr>
              <w:t>,</w:t>
            </w:r>
            <w:r w:rsidR="002D1A7B">
              <w:rPr>
                <w:rFonts w:cs="Arial"/>
                <w:sz w:val="18"/>
                <w:szCs w:val="18"/>
              </w:rPr>
              <w:t xml:space="preserve"> comprimento 40mm</w:t>
            </w:r>
            <w:r>
              <w:rPr>
                <w:rFonts w:cs="Arial"/>
                <w:sz w:val="18"/>
                <w:szCs w:val="18"/>
              </w:rPr>
              <w:t>, ou similar.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453" w:rsidRDefault="002D1A7B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21.</w:t>
            </w:r>
            <w:r w:rsidR="00EA6453">
              <w:rPr>
                <w:rFonts w:eastAsia="Arial"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453" w:rsidRDefault="00EA6453" w:rsidP="006003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EA6453" w:rsidRPr="009F2568" w:rsidTr="00AD3497">
        <w:trPr>
          <w:cantSplit/>
          <w:trHeight w:val="526"/>
        </w:trPr>
        <w:tc>
          <w:tcPr>
            <w:tcW w:w="1535" w:type="dxa"/>
            <w:shd w:val="clear" w:color="auto" w:fill="auto"/>
            <w:noWrap/>
            <w:vAlign w:val="center"/>
          </w:tcPr>
          <w:p w:rsidR="00EA6453" w:rsidRDefault="007860A1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5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EA6453" w:rsidRDefault="00F6157C" w:rsidP="002D1A7B">
            <w:pPr>
              <w:rPr>
                <w:rFonts w:cs="Arial"/>
                <w:sz w:val="18"/>
                <w:szCs w:val="18"/>
              </w:rPr>
            </w:pPr>
            <w:r w:rsidRPr="000D340D">
              <w:rPr>
                <w:rFonts w:cs="Arial"/>
                <w:sz w:val="18"/>
                <w:szCs w:val="18"/>
              </w:rPr>
              <w:t>Fita isolante</w:t>
            </w:r>
            <w:r w:rsidR="001C1D1E">
              <w:rPr>
                <w:rFonts w:cs="Arial"/>
                <w:sz w:val="18"/>
                <w:szCs w:val="18"/>
              </w:rPr>
              <w:t xml:space="preserve"> em PVC</w:t>
            </w:r>
            <w:r w:rsidRPr="000D340D">
              <w:rPr>
                <w:rFonts w:cs="Arial"/>
                <w:sz w:val="18"/>
                <w:szCs w:val="18"/>
              </w:rPr>
              <w:t xml:space="preserve"> de baixa </w:t>
            </w:r>
            <w:r w:rsidR="001C1D1E">
              <w:rPr>
                <w:rFonts w:cs="Arial"/>
                <w:sz w:val="18"/>
                <w:szCs w:val="18"/>
              </w:rPr>
              <w:t>voltagem</w:t>
            </w:r>
            <w:r w:rsidR="000D340D" w:rsidRPr="000D340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retardante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</w:t>
            </w:r>
            <w:r w:rsidRPr="000D340D">
              <w:rPr>
                <w:rFonts w:cs="Arial"/>
                <w:sz w:val="18"/>
                <w:szCs w:val="18"/>
              </w:rPr>
              <w:t xml:space="preserve"> chamas</w:t>
            </w:r>
            <w:r w:rsidR="000D340D" w:rsidRPr="000D340D">
              <w:rPr>
                <w:rFonts w:cs="Arial"/>
                <w:sz w:val="18"/>
                <w:szCs w:val="18"/>
              </w:rPr>
              <w:t>, 1</w:t>
            </w:r>
            <w:r w:rsidR="001C1D1E">
              <w:rPr>
                <w:rFonts w:cs="Arial"/>
                <w:sz w:val="18"/>
                <w:szCs w:val="18"/>
              </w:rPr>
              <w:t>9mm X 20m</w:t>
            </w:r>
            <w:r w:rsidR="002D1A7B">
              <w:rPr>
                <w:rFonts w:cs="Arial"/>
                <w:sz w:val="18"/>
                <w:szCs w:val="18"/>
              </w:rPr>
              <w:t xml:space="preserve"> </w:t>
            </w:r>
            <w:r w:rsidR="000D340D" w:rsidRPr="000D340D">
              <w:rPr>
                <w:rFonts w:cs="Arial"/>
                <w:sz w:val="18"/>
                <w:szCs w:val="18"/>
              </w:rPr>
              <w:t>para isolação elétrica em instalações em até 750</w:t>
            </w:r>
            <w:r w:rsidR="000D340D">
              <w:rPr>
                <w:rFonts w:cs="Arial"/>
                <w:sz w:val="18"/>
                <w:szCs w:val="18"/>
              </w:rPr>
              <w:t>v</w:t>
            </w:r>
            <w:r w:rsidR="000D340D" w:rsidRPr="000D340D">
              <w:rPr>
                <w:rFonts w:cs="Arial"/>
                <w:sz w:val="18"/>
                <w:szCs w:val="18"/>
              </w:rPr>
              <w:t xml:space="preserve"> </w:t>
            </w:r>
            <w:r w:rsidR="001C1D1E">
              <w:rPr>
                <w:rFonts w:cs="Arial"/>
                <w:sz w:val="18"/>
                <w:szCs w:val="18"/>
              </w:rPr>
              <w:t xml:space="preserve">adesivo de </w:t>
            </w:r>
            <w:proofErr w:type="gramStart"/>
            <w:r w:rsidR="001C1D1E">
              <w:rPr>
                <w:rFonts w:cs="Arial"/>
                <w:sz w:val="18"/>
                <w:szCs w:val="18"/>
              </w:rPr>
              <w:t>borracha</w:t>
            </w:r>
            <w:r w:rsidR="002D1A7B">
              <w:rPr>
                <w:rFonts w:cs="Arial"/>
                <w:sz w:val="18"/>
                <w:szCs w:val="18"/>
              </w:rPr>
              <w:t>,</w:t>
            </w:r>
            <w:r w:rsidR="001C1D1E">
              <w:rPr>
                <w:rFonts w:cs="Arial"/>
                <w:sz w:val="18"/>
                <w:szCs w:val="18"/>
              </w:rPr>
              <w:t xml:space="preserve">  sensível</w:t>
            </w:r>
            <w:proofErr w:type="gramEnd"/>
            <w:r w:rsidR="001C1D1E">
              <w:rPr>
                <w:rFonts w:cs="Arial"/>
                <w:sz w:val="18"/>
                <w:szCs w:val="18"/>
              </w:rPr>
              <w:t xml:space="preserve"> a pressão</w:t>
            </w:r>
            <w:r w:rsidR="00082EB9">
              <w:rPr>
                <w:rFonts w:cs="Arial"/>
                <w:sz w:val="18"/>
                <w:szCs w:val="18"/>
              </w:rPr>
              <w:t>,</w:t>
            </w:r>
            <w:r w:rsidR="001C1D1E">
              <w:rPr>
                <w:rFonts w:cs="Arial"/>
                <w:sz w:val="18"/>
                <w:szCs w:val="18"/>
              </w:rPr>
              <w:t xml:space="preserve"> certificação ABNT NBR NM 60454-3-1</w:t>
            </w:r>
            <w:r w:rsidR="00082EB9">
              <w:rPr>
                <w:rFonts w:cs="Arial"/>
                <w:sz w:val="18"/>
                <w:szCs w:val="18"/>
              </w:rPr>
              <w:t>, tipo 3M 33+, ou similar</w:t>
            </w:r>
            <w:r w:rsidR="00AD3497">
              <w:rPr>
                <w:rFonts w:cs="Arial"/>
                <w:sz w:val="18"/>
                <w:szCs w:val="18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417" w:type="dxa"/>
            <w:shd w:val="clear" w:color="auto" w:fill="auto"/>
            <w:vAlign w:val="center"/>
          </w:tcPr>
          <w:p w:rsidR="00EA6453" w:rsidRDefault="00EA6453" w:rsidP="006003BD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453" w:rsidRDefault="00EA6453" w:rsidP="006003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B26732" w:rsidRPr="009F2568" w:rsidTr="00AD3497">
        <w:trPr>
          <w:cantSplit/>
          <w:trHeight w:val="526"/>
        </w:trPr>
        <w:tc>
          <w:tcPr>
            <w:tcW w:w="1535" w:type="dxa"/>
            <w:shd w:val="clear" w:color="auto" w:fill="auto"/>
            <w:noWrap/>
            <w:vAlign w:val="center"/>
          </w:tcPr>
          <w:p w:rsidR="00B26732" w:rsidRDefault="007860A1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6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B26732" w:rsidRPr="000D340D" w:rsidRDefault="002D1A7B" w:rsidP="007860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Caixa de Passagem </w:t>
            </w:r>
            <w:r w:rsidR="007860A1">
              <w:rPr>
                <w:rFonts w:cs="Arial"/>
                <w:sz w:val="18"/>
                <w:szCs w:val="18"/>
              </w:rPr>
              <w:t xml:space="preserve">em alumínio, </w:t>
            </w:r>
            <w:r w:rsidR="00DB2827">
              <w:rPr>
                <w:rFonts w:cs="Arial"/>
                <w:sz w:val="18"/>
                <w:szCs w:val="18"/>
              </w:rPr>
              <w:t xml:space="preserve">tipo </w:t>
            </w:r>
            <w:proofErr w:type="spellStart"/>
            <w:r w:rsidR="00DB2827">
              <w:rPr>
                <w:rFonts w:cs="Arial"/>
                <w:sz w:val="18"/>
                <w:szCs w:val="18"/>
              </w:rPr>
              <w:t>Condulete</w:t>
            </w:r>
            <w:proofErr w:type="spellEnd"/>
            <w:r w:rsidR="00DB2827">
              <w:rPr>
                <w:rFonts w:cs="Arial"/>
                <w:sz w:val="18"/>
                <w:szCs w:val="18"/>
              </w:rPr>
              <w:t xml:space="preserve"> Mú</w:t>
            </w:r>
            <w:r>
              <w:rPr>
                <w:rFonts w:cs="Arial"/>
                <w:sz w:val="18"/>
                <w:szCs w:val="18"/>
              </w:rPr>
              <w:t>ltiplo X ¾ Tramontina</w:t>
            </w:r>
            <w:r w:rsidR="007860A1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DAISA ou similar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B26732" w:rsidRPr="009F2568" w:rsidTr="00AD3497">
        <w:trPr>
          <w:cantSplit/>
          <w:trHeight w:val="526"/>
        </w:trPr>
        <w:tc>
          <w:tcPr>
            <w:tcW w:w="1535" w:type="dxa"/>
            <w:shd w:val="clear" w:color="auto" w:fill="auto"/>
            <w:noWrap/>
            <w:vAlign w:val="center"/>
          </w:tcPr>
          <w:p w:rsidR="00B26732" w:rsidRDefault="007860A1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7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B26732" w:rsidRPr="000D340D" w:rsidRDefault="00B26732" w:rsidP="00B2673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Tampão </w:t>
            </w:r>
            <w:r w:rsidR="007860A1">
              <w:rPr>
                <w:rFonts w:cs="Arial"/>
                <w:sz w:val="18"/>
                <w:szCs w:val="18"/>
              </w:rPr>
              <w:t xml:space="preserve">para caixa de passagem tipo </w:t>
            </w:r>
            <w:proofErr w:type="spellStart"/>
            <w:r w:rsidR="007860A1">
              <w:rPr>
                <w:rFonts w:cs="Arial"/>
                <w:sz w:val="18"/>
                <w:szCs w:val="18"/>
              </w:rPr>
              <w:t>Condulet</w:t>
            </w:r>
            <w:r w:rsidR="00DB2827">
              <w:rPr>
                <w:rFonts w:cs="Arial"/>
                <w:sz w:val="18"/>
                <w:szCs w:val="18"/>
              </w:rPr>
              <w:t>e</w:t>
            </w:r>
            <w:proofErr w:type="spellEnd"/>
            <w:r w:rsidR="007860A1">
              <w:rPr>
                <w:rFonts w:cs="Arial"/>
                <w:sz w:val="18"/>
                <w:szCs w:val="18"/>
              </w:rPr>
              <w:t xml:space="preserve"> Tramontina </w:t>
            </w:r>
            <w:r w:rsidR="00DB2827">
              <w:rPr>
                <w:rFonts w:cs="Arial"/>
                <w:sz w:val="18"/>
                <w:szCs w:val="18"/>
              </w:rPr>
              <w:t>Mú</w:t>
            </w:r>
            <w:r w:rsidR="007860A1">
              <w:rPr>
                <w:rFonts w:cs="Arial"/>
                <w:sz w:val="18"/>
                <w:szCs w:val="18"/>
              </w:rPr>
              <w:t xml:space="preserve">ltiplo X </w:t>
            </w:r>
            <w:r>
              <w:rPr>
                <w:rFonts w:cs="Arial"/>
                <w:sz w:val="18"/>
                <w:szCs w:val="18"/>
              </w:rPr>
              <w:t xml:space="preserve">de PVC ¾”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B26732" w:rsidRPr="009F2568" w:rsidTr="00AD3497">
        <w:trPr>
          <w:cantSplit/>
          <w:trHeight w:val="526"/>
        </w:trPr>
        <w:tc>
          <w:tcPr>
            <w:tcW w:w="1535" w:type="dxa"/>
            <w:shd w:val="clear" w:color="auto" w:fill="auto"/>
            <w:noWrap/>
            <w:vAlign w:val="center"/>
          </w:tcPr>
          <w:p w:rsidR="00B26732" w:rsidRDefault="007860A1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8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B26732" w:rsidRPr="000D340D" w:rsidRDefault="002D1A7B" w:rsidP="007860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Tampa de </w:t>
            </w:r>
            <w:r w:rsidR="007860A1">
              <w:rPr>
                <w:rFonts w:cs="Arial"/>
                <w:sz w:val="18"/>
                <w:szCs w:val="18"/>
              </w:rPr>
              <w:t xml:space="preserve">caixa de passagem tipo </w:t>
            </w:r>
            <w:proofErr w:type="spellStart"/>
            <w:r w:rsidR="007860A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ondulete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7860A1">
              <w:rPr>
                <w:rFonts w:cs="Arial"/>
                <w:sz w:val="18"/>
                <w:szCs w:val="18"/>
              </w:rPr>
              <w:t xml:space="preserve">Tramontina </w:t>
            </w:r>
            <w:r w:rsidR="00DB2827">
              <w:rPr>
                <w:rFonts w:cs="Arial"/>
                <w:sz w:val="18"/>
                <w:szCs w:val="18"/>
              </w:rPr>
              <w:t>Mú</w:t>
            </w:r>
            <w:r w:rsidR="007860A1">
              <w:rPr>
                <w:rFonts w:cs="Arial"/>
                <w:sz w:val="18"/>
                <w:szCs w:val="18"/>
              </w:rPr>
              <w:t>ltiplo X, DAISA, ou similar</w:t>
            </w:r>
            <w:r>
              <w:rPr>
                <w:rFonts w:cs="Arial"/>
                <w:sz w:val="18"/>
                <w:szCs w:val="18"/>
              </w:rPr>
              <w:t xml:space="preserve"> com uma saída RJ45 e suporte de metal</w:t>
            </w:r>
            <w:r w:rsidR="00AD3497">
              <w:rPr>
                <w:rFonts w:cs="Arial"/>
                <w:sz w:val="18"/>
                <w:szCs w:val="18"/>
              </w:rPr>
              <w:t>, com vedação e parafusos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B26732" w:rsidRPr="009F2568" w:rsidTr="00AD3497">
        <w:trPr>
          <w:cantSplit/>
          <w:trHeight w:val="526"/>
        </w:trPr>
        <w:tc>
          <w:tcPr>
            <w:tcW w:w="1535" w:type="dxa"/>
            <w:shd w:val="clear" w:color="auto" w:fill="auto"/>
            <w:noWrap/>
            <w:vAlign w:val="center"/>
          </w:tcPr>
          <w:p w:rsidR="00B26732" w:rsidRDefault="007860A1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9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B26732" w:rsidRPr="000D340D" w:rsidRDefault="007860A1" w:rsidP="007860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Conector em alumínio tipo </w:t>
            </w:r>
            <w:proofErr w:type="spellStart"/>
            <w:r>
              <w:rPr>
                <w:rFonts w:cs="Arial"/>
                <w:sz w:val="18"/>
                <w:szCs w:val="18"/>
              </w:rPr>
              <w:t>Condulete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Tramontina </w:t>
            </w:r>
            <w:proofErr w:type="spellStart"/>
            <w:r>
              <w:rPr>
                <w:rFonts w:cs="Arial"/>
                <w:sz w:val="18"/>
                <w:szCs w:val="18"/>
              </w:rPr>
              <w:t>Multiplo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X, DAISA, ou similar </w:t>
            </w:r>
            <w:proofErr w:type="spellStart"/>
            <w:r>
              <w:rPr>
                <w:rFonts w:cs="Arial"/>
                <w:sz w:val="18"/>
                <w:szCs w:val="18"/>
              </w:rPr>
              <w:t>Diametro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732" w:rsidRDefault="00B26732" w:rsidP="00B267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</w:tbl>
    <w:p w:rsidR="000D2A25" w:rsidRPr="000D2A25" w:rsidRDefault="000D2A25" w:rsidP="000D2A25">
      <w:pPr>
        <w:spacing w:line="240" w:lineRule="auto"/>
        <w:rPr>
          <w:b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9A136E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B16C17" w:rsidRPr="00EB1924" w:rsidRDefault="00B16C17" w:rsidP="00767689">
      <w:pPr>
        <w:spacing w:line="240" w:lineRule="auto"/>
        <w:rPr>
          <w:sz w:val="20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57056D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Este material segue o padrão já utilizado nas unidades do TJPE para fixação do cabeamento de rede de dados</w:t>
            </w:r>
            <w:r w:rsidR="009A136E">
              <w:rPr>
                <w:sz w:val="18"/>
                <w:szCs w:val="18"/>
              </w:rPr>
              <w:t>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0561B6" w:rsidRDefault="000561B6" w:rsidP="00767689">
      <w:pPr>
        <w:spacing w:line="240" w:lineRule="auto"/>
        <w:rPr>
          <w:b/>
          <w:sz w:val="20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B16C17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existe necessidade de adequação do ambiente.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proofErr w:type="gramStart"/>
      <w:r>
        <w:rPr>
          <w:b/>
        </w:rPr>
        <w:t>Consultas e Estudos Realizados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60"/>
        <w:gridCol w:w="6367"/>
      </w:tblGrid>
      <w:tr w:rsidR="004319EC" w:rsidRPr="009E56C9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ao Fornecedor A</w:t>
            </w: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903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mail, relatórios, atas de reuniões, orçamentos, </w:t>
            </w:r>
            <w:proofErr w:type="gramStart"/>
            <w:r>
              <w:rPr>
                <w:sz w:val="16"/>
                <w:szCs w:val="16"/>
              </w:rPr>
              <w:t>etc..</w:t>
            </w:r>
            <w:proofErr w:type="gramEnd"/>
          </w:p>
        </w:tc>
      </w:tr>
      <w:tr w:rsidR="000B6192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ao Fornecedor B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903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mail, relatórios, atas de reuniões, orçamentos, </w:t>
            </w:r>
            <w:proofErr w:type="gramStart"/>
            <w:r>
              <w:rPr>
                <w:sz w:val="16"/>
                <w:szCs w:val="16"/>
              </w:rPr>
              <w:t>etc..</w:t>
            </w:r>
            <w:proofErr w:type="gramEnd"/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ao Órgão X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E-mail, relatórios, editais de licitação, atas de registro de preços, </w:t>
            </w:r>
            <w:proofErr w:type="gramStart"/>
            <w:r>
              <w:rPr>
                <w:sz w:val="16"/>
                <w:szCs w:val="16"/>
              </w:rPr>
              <w:t>etc..</w:t>
            </w:r>
            <w:proofErr w:type="gramEnd"/>
          </w:p>
        </w:tc>
      </w:tr>
      <w:tr w:rsidR="000B6192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Estudo Técnico 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Relatórios, estudos, </w:t>
            </w:r>
            <w:proofErr w:type="gramStart"/>
            <w:r>
              <w:rPr>
                <w:sz w:val="16"/>
                <w:szCs w:val="16"/>
              </w:rPr>
              <w:t>etc...</w:t>
            </w:r>
            <w:proofErr w:type="gramEnd"/>
          </w:p>
        </w:tc>
      </w:tr>
    </w:tbl>
    <w:p w:rsidR="00303C13" w:rsidRPr="00303C13" w:rsidRDefault="00303C13" w:rsidP="00303C13">
      <w:pPr>
        <w:spacing w:line="240" w:lineRule="auto"/>
        <w:rPr>
          <w:b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9E56C9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9E56C9" w:rsidRDefault="001056A8" w:rsidP="00996A21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1056A8" w:rsidRPr="001056A8" w:rsidRDefault="001056A8" w:rsidP="001056A8">
      <w:pPr>
        <w:spacing w:line="240" w:lineRule="auto"/>
        <w:rPr>
          <w:sz w:val="20"/>
          <w:szCs w:val="20"/>
        </w:rPr>
      </w:pPr>
    </w:p>
    <w:p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22405F" w:rsidRPr="005E194D" w:rsidTr="0022405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405F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05F" w:rsidRPr="009E56C9" w:rsidRDefault="006066DD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05F" w:rsidRPr="009E56C9" w:rsidRDefault="0022405F" w:rsidP="0060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6066DD">
              <w:rPr>
                <w:sz w:val="16"/>
                <w:szCs w:val="16"/>
              </w:rPr>
              <w:t>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405F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05F" w:rsidRPr="005E194D" w:rsidRDefault="0022405F" w:rsidP="006066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5E194D">
              <w:rPr>
                <w:b/>
                <w:sz w:val="16"/>
                <w:szCs w:val="16"/>
              </w:rPr>
              <w:t xml:space="preserve">Recife,   </w:t>
            </w:r>
            <w:proofErr w:type="gramEnd"/>
            <w:r w:rsidRPr="005E194D">
              <w:rPr>
                <w:b/>
                <w:sz w:val="16"/>
                <w:szCs w:val="16"/>
              </w:rPr>
              <w:t xml:space="preserve">    de              </w:t>
            </w:r>
            <w:proofErr w:type="spellStart"/>
            <w:r w:rsidRPr="005E194D">
              <w:rPr>
                <w:b/>
                <w:sz w:val="16"/>
                <w:szCs w:val="16"/>
              </w:rPr>
              <w:t>de</w:t>
            </w:r>
            <w:proofErr w:type="spellEnd"/>
            <w:r w:rsidRPr="005E194D">
              <w:rPr>
                <w:b/>
                <w:sz w:val="16"/>
                <w:szCs w:val="16"/>
              </w:rPr>
              <w:t xml:space="preserve"> </w:t>
            </w:r>
            <w:r w:rsidR="006066DD">
              <w:rPr>
                <w:b/>
                <w:sz w:val="16"/>
                <w:szCs w:val="16"/>
              </w:rPr>
              <w:t>2017</w:t>
            </w:r>
          </w:p>
        </w:tc>
      </w:tr>
    </w:tbl>
    <w:p w:rsidR="003D0B5A" w:rsidRDefault="003D0B5A" w:rsidP="003D0B5A">
      <w:pPr>
        <w:rPr>
          <w:sz w:val="20"/>
        </w:rPr>
      </w:pPr>
    </w:p>
    <w:p w:rsidR="00DA3817" w:rsidRDefault="00DA3817" w:rsidP="003D0B5A">
      <w:pPr>
        <w:rPr>
          <w:sz w:val="20"/>
        </w:rPr>
        <w:sectPr w:rsidR="00DA3817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1056A8" w:rsidRPr="009E56C9" w:rsidRDefault="006066DD" w:rsidP="001056A8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t xml:space="preserve">Aquisição de </w:t>
      </w:r>
      <w:r>
        <w:t>material para instalação de cabeamento estruturado</w:t>
      </w:r>
    </w:p>
    <w:p w:rsidR="00DA3817" w:rsidRDefault="00DA3817" w:rsidP="003D0B5A">
      <w:pPr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4D6CCB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 xml:space="preserve">Riscos da Solução de </w:t>
      </w:r>
      <w:r w:rsidR="00521037">
        <w:rPr>
          <w:b/>
        </w:rPr>
        <w:t>Tecnologia da Informação</w:t>
      </w:r>
    </w:p>
    <w:p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52103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3D0B5A">
      <w:pPr>
        <w:rPr>
          <w:sz w:val="20"/>
        </w:rPr>
      </w:pPr>
    </w:p>
    <w:p w:rsidR="00521037" w:rsidRDefault="00521037" w:rsidP="003D0B5A">
      <w:pPr>
        <w:rPr>
          <w:sz w:val="20"/>
        </w:rPr>
      </w:pPr>
    </w:p>
    <w:p w:rsidR="00521037" w:rsidRDefault="00521037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52103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521037" w:rsidRDefault="00521037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21037" w:rsidRPr="005E194D" w:rsidTr="00996A2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21037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21037" w:rsidRPr="0076768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037" w:rsidRPr="009E56C9" w:rsidRDefault="006066DD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037" w:rsidRPr="009E56C9" w:rsidRDefault="00521037" w:rsidP="0060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6066DD">
              <w:rPr>
                <w:sz w:val="16"/>
                <w:szCs w:val="16"/>
              </w:rPr>
              <w:t>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1037" w:rsidRPr="005E194D" w:rsidTr="00521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037" w:rsidRPr="005E194D" w:rsidRDefault="00521037" w:rsidP="006066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5E194D">
              <w:rPr>
                <w:b/>
                <w:sz w:val="16"/>
                <w:szCs w:val="16"/>
              </w:rPr>
              <w:t xml:space="preserve">Recife,   </w:t>
            </w:r>
            <w:proofErr w:type="gramEnd"/>
            <w:r w:rsidRPr="005E194D">
              <w:rPr>
                <w:b/>
                <w:sz w:val="16"/>
                <w:szCs w:val="16"/>
              </w:rPr>
              <w:t xml:space="preserve">    de              </w:t>
            </w:r>
            <w:proofErr w:type="spellStart"/>
            <w:r w:rsidRPr="005E194D">
              <w:rPr>
                <w:b/>
                <w:sz w:val="16"/>
                <w:szCs w:val="16"/>
              </w:rPr>
              <w:t>de</w:t>
            </w:r>
            <w:proofErr w:type="spellEnd"/>
            <w:r w:rsidRPr="005E194D">
              <w:rPr>
                <w:b/>
                <w:sz w:val="16"/>
                <w:szCs w:val="16"/>
              </w:rPr>
              <w:t xml:space="preserve"> 201</w:t>
            </w:r>
            <w:r w:rsidR="006066DD">
              <w:rPr>
                <w:b/>
                <w:sz w:val="16"/>
                <w:szCs w:val="16"/>
              </w:rPr>
              <w:t>7</w:t>
            </w:r>
          </w:p>
        </w:tc>
      </w:tr>
    </w:tbl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  <w:sectPr w:rsidR="004D6CCB" w:rsidSect="003D0B5A">
          <w:headerReference w:type="default" r:id="rId12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EE2393" w:rsidRPr="009E56C9" w:rsidRDefault="006066DD" w:rsidP="00EE2393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t xml:space="preserve">Aquisição de </w:t>
      </w:r>
      <w:r>
        <w:t>material para instalação de cabeamento estruturado</w:t>
      </w:r>
    </w:p>
    <w:p w:rsidR="004D6CCB" w:rsidRDefault="004D6CCB" w:rsidP="003D0B5A">
      <w:pPr>
        <w:rPr>
          <w:sz w:val="20"/>
        </w:rPr>
      </w:pPr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0D32FE" w:rsidRDefault="00EE2393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  <w:sectPr w:rsidR="006648A4" w:rsidSect="006648A4">
          <w:headerReference w:type="default" r:id="rId13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Modelo de Prestação do Objeto</w:t>
      </w:r>
    </w:p>
    <w:p w:rsidR="006648A4" w:rsidRPr="006648A4" w:rsidRDefault="006648A4" w:rsidP="006648A4">
      <w:pPr>
        <w:spacing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12D0" w:rsidRDefault="001112D0" w:rsidP="003D0B5A">
            <w:pPr>
              <w:rPr>
                <w:sz w:val="20"/>
              </w:rPr>
            </w:pPr>
          </w:p>
        </w:tc>
      </w:tr>
      <w:tr w:rsidR="001112D0" w:rsidTr="001112D0">
        <w:trPr>
          <w:trHeight w:val="255"/>
        </w:trPr>
        <w:tc>
          <w:tcPr>
            <w:tcW w:w="10752" w:type="dxa"/>
          </w:tcPr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</w:tc>
      </w:tr>
    </w:tbl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43E1E" w:rsidTr="00D031B7">
        <w:trPr>
          <w:trHeight w:val="255"/>
        </w:trPr>
        <w:tc>
          <w:tcPr>
            <w:tcW w:w="3580" w:type="dxa"/>
          </w:tcPr>
          <w:p w:rsidR="00D43E1E" w:rsidRDefault="00D43E1E" w:rsidP="00D031B7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</w:t>
            </w:r>
            <w:r w:rsidR="00D031B7">
              <w:rPr>
                <w:sz w:val="20"/>
              </w:rPr>
              <w:t>?</w:t>
            </w:r>
          </w:p>
        </w:tc>
        <w:tc>
          <w:tcPr>
            <w:tcW w:w="1508" w:type="dxa"/>
          </w:tcPr>
          <w:p w:rsidR="00D43E1E" w:rsidRDefault="00D031B7" w:rsidP="00D031B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SIM             NÃO</w:t>
            </w:r>
          </w:p>
        </w:tc>
        <w:tc>
          <w:tcPr>
            <w:tcW w:w="5644" w:type="dxa"/>
          </w:tcPr>
          <w:p w:rsidR="00D43E1E" w:rsidRDefault="00D031B7" w:rsidP="00D031B7">
            <w:pPr>
              <w:spacing w:after="0"/>
              <w:rPr>
                <w:sz w:val="20"/>
              </w:rPr>
            </w:pPr>
            <w:proofErr w:type="gramStart"/>
            <w:r>
              <w:rPr>
                <w:sz w:val="20"/>
              </w:rPr>
              <w:t>&lt;Justificativa</w:t>
            </w:r>
            <w:proofErr w:type="gramEnd"/>
            <w:r>
              <w:rPr>
                <w:sz w:val="20"/>
              </w:rPr>
              <w:t>&gt;</w:t>
            </w:r>
          </w:p>
        </w:tc>
      </w:tr>
    </w:tbl>
    <w:p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:rsidTr="00996A21">
        <w:trPr>
          <w:trHeight w:val="255"/>
        </w:trPr>
        <w:tc>
          <w:tcPr>
            <w:tcW w:w="3580" w:type="dxa"/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:rsidR="00D031B7" w:rsidRDefault="00D031B7" w:rsidP="00D031B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SIM             NÃO</w:t>
            </w:r>
          </w:p>
        </w:tc>
        <w:tc>
          <w:tcPr>
            <w:tcW w:w="5644" w:type="dxa"/>
          </w:tcPr>
          <w:p w:rsidR="00D031B7" w:rsidRDefault="00D031B7" w:rsidP="00996A21">
            <w:pPr>
              <w:spacing w:after="0"/>
              <w:rPr>
                <w:sz w:val="20"/>
              </w:rPr>
            </w:pPr>
            <w:proofErr w:type="gramStart"/>
            <w:r>
              <w:rPr>
                <w:sz w:val="20"/>
              </w:rPr>
              <w:t>&lt;Justificativa</w:t>
            </w:r>
            <w:proofErr w:type="gramEnd"/>
            <w:r>
              <w:rPr>
                <w:sz w:val="20"/>
              </w:rPr>
              <w:t>&gt;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519"/>
        <w:gridCol w:w="4394"/>
        <w:gridCol w:w="3061"/>
      </w:tblGrid>
      <w:tr w:rsidR="009D38E2" w:rsidRPr="002C4515" w:rsidTr="009D38E2">
        <w:trPr>
          <w:trHeight w:hRule="exact" w:val="255"/>
        </w:trPr>
        <w:tc>
          <w:tcPr>
            <w:tcW w:w="7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51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30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:rsidTr="009D38E2">
        <w:trPr>
          <w:trHeight w:hRule="exact" w:val="255"/>
        </w:trPr>
        <w:tc>
          <w:tcPr>
            <w:tcW w:w="74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9D38E2">
        <w:trPr>
          <w:trHeight w:hRule="exact" w:val="255"/>
        </w:trPr>
        <w:tc>
          <w:tcPr>
            <w:tcW w:w="74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9D38E2">
        <w:trPr>
          <w:trHeight w:hRule="exact" w:val="255"/>
        </w:trPr>
        <w:tc>
          <w:tcPr>
            <w:tcW w:w="74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</w:tbl>
    <w:p w:rsidR="00AC09B2" w:rsidRDefault="00AC09B2" w:rsidP="00AC09B2">
      <w:pPr>
        <w:spacing w:line="240" w:lineRule="auto"/>
        <w:rPr>
          <w:b/>
        </w:rPr>
      </w:pPr>
    </w:p>
    <w:p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:rsidR="00D031B7" w:rsidRDefault="00D031B7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especificação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 objeto;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prazo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de execução do serviço, observada a primeira Ordem de Serviço emitida pela Diretoria de Informática;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cronograma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dos serviços.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:rsidR="002C4515" w:rsidRPr="00D23B9F" w:rsidRDefault="002C4515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2C4515" w:rsidRDefault="002C4515" w:rsidP="00841E92">
            <w:pPr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984"/>
        <w:gridCol w:w="2126"/>
      </w:tblGrid>
      <w:tr w:rsidR="00C605DB" w:rsidRPr="002C4515" w:rsidTr="00A5283E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C605DB" w:rsidP="00C605DB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A5283E" w:rsidP="00C605DB">
            <w:pPr>
              <w:rPr>
                <w:sz w:val="20"/>
              </w:rPr>
            </w:pPr>
            <w:r>
              <w:rPr>
                <w:sz w:val="20"/>
              </w:rPr>
              <w:t xml:space="preserve">Encaminhamento de </w:t>
            </w:r>
            <w:proofErr w:type="spellStart"/>
            <w:r>
              <w:rPr>
                <w:sz w:val="20"/>
              </w:rPr>
              <w:t>OS’s</w:t>
            </w:r>
            <w:proofErr w:type="spellEnd"/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C605DB" w:rsidP="00C605D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A5283E">
              <w:rPr>
                <w:sz w:val="20"/>
              </w:rPr>
              <w:t xml:space="preserve">ncaminhamento de </w:t>
            </w:r>
            <w:proofErr w:type="spellStart"/>
            <w:r w:rsidR="00A5283E">
              <w:rPr>
                <w:sz w:val="20"/>
              </w:rPr>
              <w:t>NF’s</w:t>
            </w:r>
            <w:proofErr w:type="spellEnd"/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A5283E" w:rsidP="00A5283E">
            <w:pPr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9E56C9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9E56C9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Pr="009E56C9" w:rsidRDefault="006314E0" w:rsidP="00841E9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841E92">
        <w:trPr>
          <w:trHeight w:val="1010"/>
        </w:trPr>
        <w:tc>
          <w:tcPr>
            <w:tcW w:w="5533" w:type="dxa"/>
          </w:tcPr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 Eletrônico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 Eletrônico com Registro de Preços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Adesão à Ata de Registro de Preços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Inexigibilidade de Licitação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Dispensa de Licitação</w:t>
            </w:r>
          </w:p>
          <w:p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Outra</w:t>
            </w:r>
          </w:p>
        </w:tc>
        <w:tc>
          <w:tcPr>
            <w:tcW w:w="5240" w:type="dxa"/>
          </w:tcPr>
          <w:p w:rsidR="006314E0" w:rsidRPr="002C4515" w:rsidRDefault="006314E0" w:rsidP="006314E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0265BF" w:rsidRDefault="000265BF" w:rsidP="000265BF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Requisito da Equipe Técnica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0265BF" w:rsidRPr="002C4515" w:rsidTr="000265BF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Pr="002C4515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Papel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0265BF" w:rsidRPr="002C4515" w:rsidTr="000265BF">
        <w:trPr>
          <w:trHeight w:val="819"/>
        </w:trPr>
        <w:tc>
          <w:tcPr>
            <w:tcW w:w="2835" w:type="dxa"/>
          </w:tcPr>
          <w:p w:rsidR="000265BF" w:rsidRPr="002C4515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0265BF" w:rsidRPr="002C4515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0265BF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Formação em:</w:t>
            </w:r>
          </w:p>
          <w:p w:rsidR="000265BF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Certificação em:</w:t>
            </w:r>
          </w:p>
          <w:p w:rsidR="000265BF" w:rsidRPr="002C4515" w:rsidRDefault="000265BF" w:rsidP="000265B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Experiência comprovada através de currículo em:</w:t>
            </w:r>
          </w:p>
        </w:tc>
        <w:tc>
          <w:tcPr>
            <w:tcW w:w="2551" w:type="dxa"/>
          </w:tcPr>
          <w:p w:rsidR="000265BF" w:rsidRPr="002C4515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B2EC2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2EC2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B2EC2" w:rsidRPr="0076768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EC2" w:rsidRPr="009E56C9" w:rsidRDefault="006066DD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EC2" w:rsidRPr="009E56C9" w:rsidRDefault="005B2EC2" w:rsidP="0060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6066DD">
              <w:rPr>
                <w:sz w:val="16"/>
                <w:szCs w:val="16"/>
              </w:rPr>
              <w:t>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2EC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EC2" w:rsidRPr="005E194D" w:rsidRDefault="005B2EC2" w:rsidP="00841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5E194D">
              <w:rPr>
                <w:b/>
                <w:sz w:val="16"/>
                <w:szCs w:val="16"/>
              </w:rPr>
              <w:t>Recif</w:t>
            </w:r>
            <w:r w:rsidR="006066DD">
              <w:rPr>
                <w:b/>
                <w:sz w:val="16"/>
                <w:szCs w:val="16"/>
              </w:rPr>
              <w:t xml:space="preserve">e,   </w:t>
            </w:r>
            <w:proofErr w:type="gramEnd"/>
            <w:r w:rsidR="006066DD">
              <w:rPr>
                <w:b/>
                <w:sz w:val="16"/>
                <w:szCs w:val="16"/>
              </w:rPr>
              <w:t xml:space="preserve">    de              </w:t>
            </w:r>
            <w:proofErr w:type="spellStart"/>
            <w:r w:rsidR="006066DD">
              <w:rPr>
                <w:b/>
                <w:sz w:val="16"/>
                <w:szCs w:val="16"/>
              </w:rPr>
              <w:t>de</w:t>
            </w:r>
            <w:proofErr w:type="spellEnd"/>
            <w:r w:rsidR="006066DD">
              <w:rPr>
                <w:b/>
                <w:sz w:val="16"/>
                <w:szCs w:val="16"/>
              </w:rPr>
              <w:t xml:space="preserve"> 2017</w:t>
            </w:r>
          </w:p>
        </w:tc>
      </w:tr>
    </w:tbl>
    <w:p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841E92" w:rsidRPr="009E56C9" w:rsidRDefault="006066DD" w:rsidP="00841E92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 w:rsidRPr="00BC5634">
        <w:t xml:space="preserve">Aquisição de </w:t>
      </w:r>
      <w:r>
        <w:t>material para instalação de cabeamento estruturado</w:t>
      </w:r>
    </w:p>
    <w:p w:rsidR="006648A4" w:rsidRDefault="006648A4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Pr="002C4515" w:rsidRDefault="00BD2D16" w:rsidP="0058716C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58716C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58716C">
            <w:pPr>
              <w:jc w:val="center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 w:val="restart"/>
          </w:tcPr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BD2D16" w:rsidRPr="002C4515" w:rsidRDefault="00BD2D16" w:rsidP="0058716C">
            <w:pPr>
              <w:spacing w:after="0" w:line="240" w:lineRule="auto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BD2D16" w:rsidRPr="002C4515" w:rsidRDefault="00BD2D16" w:rsidP="0058716C">
            <w:pPr>
              <w:spacing w:after="0" w:line="240" w:lineRule="auto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</w:tcPr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BD2D16" w:rsidRPr="002C4515" w:rsidRDefault="00BD2D16" w:rsidP="0058716C">
            <w:pPr>
              <w:spacing w:after="0" w:line="240" w:lineRule="auto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33"/>
        <w:gridCol w:w="3529"/>
      </w:tblGrid>
      <w:tr w:rsidR="0095003E" w:rsidTr="0095003E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Pr="002C4515" w:rsidRDefault="0095003E" w:rsidP="0058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1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58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58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Pr="002C4515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Pr="002C4515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Pr="002C4515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FC30D3" w:rsidP="0058716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FC30D3" w:rsidRPr="00BB123E" w:rsidRDefault="00FC30D3" w:rsidP="0058716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FC30D3" w:rsidRPr="000D2A25" w:rsidRDefault="00FC30D3" w:rsidP="00FC30D3">
      <w:pPr>
        <w:spacing w:line="240" w:lineRule="auto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FC30D3" w:rsidP="0058716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FC30D3" w:rsidRPr="00BB123E" w:rsidRDefault="00FC30D3" w:rsidP="0058716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:rsidTr="0058716C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58716C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58716C">
            <w:pPr>
              <w:jc w:val="center"/>
              <w:rPr>
                <w:sz w:val="20"/>
              </w:rPr>
            </w:pPr>
          </w:p>
        </w:tc>
      </w:tr>
      <w:tr w:rsidR="00E25A46" w:rsidRPr="002C4515" w:rsidTr="0058716C">
        <w:trPr>
          <w:trHeight w:val="819"/>
        </w:trPr>
        <w:tc>
          <w:tcPr>
            <w:tcW w:w="5533" w:type="dxa"/>
          </w:tcPr>
          <w:p w:rsidR="00E25A46" w:rsidRPr="002C4515" w:rsidRDefault="00E25A4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E25A46" w:rsidRPr="002C4515" w:rsidRDefault="00E25A46" w:rsidP="0058716C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25A46" w:rsidRPr="002C4515" w:rsidTr="0058716C">
        <w:trPr>
          <w:trHeight w:val="819"/>
        </w:trPr>
        <w:tc>
          <w:tcPr>
            <w:tcW w:w="5533" w:type="dxa"/>
          </w:tcPr>
          <w:p w:rsidR="00E25A46" w:rsidRDefault="00E25A4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E25A46" w:rsidRPr="002C4515" w:rsidRDefault="00B36355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Pertencerão exclusivamente ao Tribunal os direitos relativos aos produtos desenvolvidos e elaborados para a prestação do objeto, sendo vedada sua reprodução, transmissão e/ou divulgação sem o seu respectivo consentimento</w:t>
            </w:r>
          </w:p>
        </w:tc>
      </w:tr>
    </w:tbl>
    <w:p w:rsidR="00E25A46" w:rsidRDefault="00E25A46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>Durante a prestação do objeto, a Contratada deverá observar as Políticas de Controle de Acesso definidas pelo Tribunal.</w:t>
            </w:r>
          </w:p>
          <w:p w:rsidR="009E6F60" w:rsidRPr="009E6F60" w:rsidRDefault="009E6F60" w:rsidP="009E6F60">
            <w:pPr>
              <w:pStyle w:val="PargrafodaList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>A contratada deverá firmar Termo de Compromisso com a Segurança da Informação conforme minuta em anexo.</w:t>
            </w: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841E92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841E92" w:rsidRPr="005E194D" w:rsidRDefault="00841E9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841E92" w:rsidRPr="005E194D" w:rsidRDefault="00841E9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841E92" w:rsidRPr="005E194D" w:rsidRDefault="00841E9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841E9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41E92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41E92" w:rsidRPr="0076768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1E9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1E92" w:rsidRPr="009E56C9" w:rsidRDefault="006066DD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&lt;Nome&gt;</w:t>
            </w:r>
          </w:p>
        </w:tc>
      </w:tr>
      <w:tr w:rsidR="00841E9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1E92" w:rsidRPr="009E56C9" w:rsidRDefault="00841E92" w:rsidP="0060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6066DD">
              <w:rPr>
                <w:sz w:val="16"/>
                <w:szCs w:val="16"/>
              </w:rPr>
              <w:t>181499-0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&lt;Matrícula&gt;</w:t>
            </w:r>
          </w:p>
        </w:tc>
      </w:tr>
      <w:tr w:rsidR="00841E9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1E9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1E92" w:rsidRPr="005E194D" w:rsidRDefault="00841E92" w:rsidP="00841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5E194D">
              <w:rPr>
                <w:b/>
                <w:sz w:val="16"/>
                <w:szCs w:val="16"/>
              </w:rPr>
              <w:t>Recif</w:t>
            </w:r>
            <w:r w:rsidR="006066DD">
              <w:rPr>
                <w:b/>
                <w:sz w:val="16"/>
                <w:szCs w:val="16"/>
              </w:rPr>
              <w:t xml:space="preserve">e,   </w:t>
            </w:r>
            <w:proofErr w:type="gramEnd"/>
            <w:r w:rsidR="006066DD">
              <w:rPr>
                <w:b/>
                <w:sz w:val="16"/>
                <w:szCs w:val="16"/>
              </w:rPr>
              <w:t xml:space="preserve">    de              </w:t>
            </w:r>
            <w:proofErr w:type="spellStart"/>
            <w:r w:rsidR="006066DD">
              <w:rPr>
                <w:b/>
                <w:sz w:val="16"/>
                <w:szCs w:val="16"/>
              </w:rPr>
              <w:t>de</w:t>
            </w:r>
            <w:proofErr w:type="spellEnd"/>
            <w:r w:rsidR="006066DD">
              <w:rPr>
                <w:b/>
                <w:sz w:val="16"/>
                <w:szCs w:val="16"/>
              </w:rPr>
              <w:t xml:space="preserve"> 2017</w:t>
            </w:r>
          </w:p>
        </w:tc>
      </w:tr>
    </w:tbl>
    <w:p w:rsidR="00E25A46" w:rsidRDefault="00E25A46" w:rsidP="00E25A46">
      <w:pPr>
        <w:rPr>
          <w:sz w:val="20"/>
        </w:rPr>
      </w:pPr>
    </w:p>
    <w:sectPr w:rsidR="00E25A46" w:rsidSect="003D0B5A"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97" w:rsidRDefault="00AD3497" w:rsidP="00E93265">
      <w:pPr>
        <w:spacing w:after="0" w:line="240" w:lineRule="auto"/>
      </w:pPr>
      <w:r>
        <w:separator/>
      </w:r>
    </w:p>
  </w:endnote>
  <w:endnote w:type="continuationSeparator" w:id="0">
    <w:p w:rsidR="00AD3497" w:rsidRDefault="00AD3497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97" w:rsidRDefault="00AD3497" w:rsidP="00C070B9">
    <w:pPr>
      <w:pStyle w:val="Rodap"/>
      <w:pBdr>
        <w:bottom w:val="single" w:sz="6" w:space="1" w:color="auto"/>
      </w:pBdr>
      <w:ind w:left="-142"/>
    </w:pPr>
  </w:p>
  <w:p w:rsidR="00AD3497" w:rsidRDefault="00AD3497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Maio/2015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9160D8">
      <w:rPr>
        <w:noProof/>
        <w:sz w:val="16"/>
        <w:szCs w:val="16"/>
      </w:rPr>
      <w:t>13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9160D8" w:rsidRPr="009160D8">
        <w:rPr>
          <w:noProof/>
          <w:sz w:val="16"/>
          <w:szCs w:val="16"/>
        </w:rPr>
        <w:t>13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97" w:rsidRDefault="00AD3497" w:rsidP="00E93265">
      <w:pPr>
        <w:spacing w:after="0" w:line="240" w:lineRule="auto"/>
      </w:pPr>
      <w:r>
        <w:separator/>
      </w:r>
    </w:p>
  </w:footnote>
  <w:footnote w:type="continuationSeparator" w:id="0">
    <w:p w:rsidR="00AD3497" w:rsidRDefault="00AD3497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AD3497" w:rsidRPr="009E56C9" w:rsidTr="00C569E2">
      <w:trPr>
        <w:trHeight w:val="851"/>
      </w:trPr>
      <w:tc>
        <w:tcPr>
          <w:tcW w:w="10915" w:type="dxa"/>
        </w:tcPr>
        <w:p w:rsidR="00AD3497" w:rsidRPr="009E56C9" w:rsidRDefault="00AD3497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3497" w:rsidRPr="000B6E74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AD3497" w:rsidRDefault="00AD3497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AD3497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3497" w:rsidRPr="000B6E74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AD3497" w:rsidRDefault="00AD3497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AD3497" w:rsidRPr="00E445CF" w:rsidRDefault="00AD3497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Pr="00E93265" w:rsidRDefault="00AD3497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AD3497" w:rsidRPr="00E93265" w:rsidRDefault="00AD3497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AD3497" w:rsidRDefault="00AD3497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AD3497" w:rsidRPr="009E56C9" w:rsidTr="00C569E2">
      <w:trPr>
        <w:trHeight w:val="851"/>
      </w:trPr>
      <w:tc>
        <w:tcPr>
          <w:tcW w:w="10915" w:type="dxa"/>
        </w:tcPr>
        <w:p w:rsidR="00AD3497" w:rsidRPr="009E56C9" w:rsidRDefault="00AD3497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DDB034C" wp14:editId="261A3A00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BCD1D53" wp14:editId="36EAE460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3497" w:rsidRPr="000B6E74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AD3497" w:rsidRDefault="00AD3497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B034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AD3497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BCD1D53" wp14:editId="36EAE460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3497" w:rsidRPr="000B6E74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AD3497" w:rsidRDefault="00AD3497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AD3497" w:rsidRPr="00E445CF" w:rsidRDefault="00AD3497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72FDF1A" wp14:editId="628EBEC3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Pr="00E93265" w:rsidRDefault="00AD3497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2FDF1A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AD3497" w:rsidRPr="00E93265" w:rsidRDefault="00AD3497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AD3497" w:rsidRDefault="00AD3497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AD3497" w:rsidRPr="009E56C9" w:rsidTr="00C569E2">
      <w:trPr>
        <w:trHeight w:val="851"/>
      </w:trPr>
      <w:tc>
        <w:tcPr>
          <w:tcW w:w="10915" w:type="dxa"/>
        </w:tcPr>
        <w:p w:rsidR="00AD3497" w:rsidRPr="009E56C9" w:rsidRDefault="00AD3497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11EF188" wp14:editId="3B24C12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58B147F" wp14:editId="339E2A3F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3497" w:rsidRPr="000B6E74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AD3497" w:rsidRDefault="00AD3497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EF18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a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ndW1&#10;1ewJdGE10AYMw2sCk1bbLxj10Jk1dp/3xHKM5BsF2iqzogitHBfFdJbDwl5atpcWoihA1dhjNE7X&#10;fmz/vbFi18JNo5qVvgU9NiJKJQh3jOqoYui+mNPxpQjtfbmOXj/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Lq&#10;f1q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AD3497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58B147F" wp14:editId="339E2A3F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3497" w:rsidRPr="000B6E74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AD3497" w:rsidRDefault="00AD3497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AD3497" w:rsidRPr="00E445CF" w:rsidRDefault="00AD3497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0C11D6D9" wp14:editId="236BFDBA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Pr="00E93265" w:rsidRDefault="00AD3497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1D6D9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0hhAIAABY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N44d&#10;IYQCAAAW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AD3497" w:rsidRPr="00E93265" w:rsidRDefault="00AD3497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AD3497" w:rsidRDefault="00AD3497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AD3497" w:rsidRPr="009E56C9" w:rsidTr="00C569E2">
      <w:trPr>
        <w:trHeight w:val="851"/>
      </w:trPr>
      <w:tc>
        <w:tcPr>
          <w:tcW w:w="10915" w:type="dxa"/>
        </w:tcPr>
        <w:p w:rsidR="00AD3497" w:rsidRPr="009E56C9" w:rsidRDefault="00AD3497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7A336AD" wp14:editId="5B756D3A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5BEC629" wp14:editId="62C4F4AD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D3497" w:rsidRPr="000B6E74" w:rsidRDefault="00AD3497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AD3497" w:rsidRDefault="00AD3497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336A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AD3497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5BEC629" wp14:editId="62C4F4AD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3497" w:rsidRPr="000B6E74" w:rsidRDefault="00AD34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AD3497" w:rsidRDefault="00AD3497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AD3497" w:rsidRPr="00E445CF" w:rsidRDefault="00AD3497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42EC36DE" wp14:editId="7B01B29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3497" w:rsidRPr="00E93265" w:rsidRDefault="00AD3497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EC36DE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AD3497" w:rsidRPr="00E93265" w:rsidRDefault="00AD3497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AD3497" w:rsidRDefault="00AD3497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6"/>
  </w:num>
  <w:num w:numId="4">
    <w:abstractNumId w:val="33"/>
  </w:num>
  <w:num w:numId="5">
    <w:abstractNumId w:val="5"/>
  </w:num>
  <w:num w:numId="6">
    <w:abstractNumId w:val="25"/>
  </w:num>
  <w:num w:numId="7">
    <w:abstractNumId w:val="12"/>
  </w:num>
  <w:num w:numId="8">
    <w:abstractNumId w:val="32"/>
  </w:num>
  <w:num w:numId="9">
    <w:abstractNumId w:val="17"/>
  </w:num>
  <w:num w:numId="10">
    <w:abstractNumId w:val="1"/>
  </w:num>
  <w:num w:numId="11">
    <w:abstractNumId w:val="30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35"/>
  </w:num>
  <w:num w:numId="17">
    <w:abstractNumId w:val="6"/>
  </w:num>
  <w:num w:numId="18">
    <w:abstractNumId w:val="35"/>
  </w:num>
  <w:num w:numId="19">
    <w:abstractNumId w:val="10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8"/>
  </w:num>
  <w:num w:numId="24">
    <w:abstractNumId w:val="37"/>
  </w:num>
  <w:num w:numId="25">
    <w:abstractNumId w:val="19"/>
  </w:num>
  <w:num w:numId="26">
    <w:abstractNumId w:val="1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14"/>
  </w:num>
  <w:num w:numId="33">
    <w:abstractNumId w:val="23"/>
  </w:num>
  <w:num w:numId="34">
    <w:abstractNumId w:val="11"/>
  </w:num>
  <w:num w:numId="35">
    <w:abstractNumId w:val="22"/>
  </w:num>
  <w:num w:numId="36">
    <w:abstractNumId w:val="21"/>
  </w:num>
  <w:num w:numId="37">
    <w:abstractNumId w:val="15"/>
  </w:num>
  <w:num w:numId="38">
    <w:abstractNumId w:val="34"/>
  </w:num>
  <w:num w:numId="39">
    <w:abstractNumId w:val="3"/>
  </w:num>
  <w:num w:numId="40">
    <w:abstractNumId w:val="27"/>
  </w:num>
  <w:num w:numId="41">
    <w:abstractNumId w:val="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14174"/>
    <w:rsid w:val="00023A6A"/>
    <w:rsid w:val="000265BF"/>
    <w:rsid w:val="00034F58"/>
    <w:rsid w:val="00040A4A"/>
    <w:rsid w:val="00041339"/>
    <w:rsid w:val="00041950"/>
    <w:rsid w:val="000561B6"/>
    <w:rsid w:val="00082EB9"/>
    <w:rsid w:val="00086BF4"/>
    <w:rsid w:val="00094068"/>
    <w:rsid w:val="000B6192"/>
    <w:rsid w:val="000D2A25"/>
    <w:rsid w:val="000D32FE"/>
    <w:rsid w:val="000D340D"/>
    <w:rsid w:val="000F3779"/>
    <w:rsid w:val="001038EF"/>
    <w:rsid w:val="001056A8"/>
    <w:rsid w:val="001112D0"/>
    <w:rsid w:val="001213AC"/>
    <w:rsid w:val="00150059"/>
    <w:rsid w:val="00150B77"/>
    <w:rsid w:val="001625EA"/>
    <w:rsid w:val="00162BB1"/>
    <w:rsid w:val="0016603B"/>
    <w:rsid w:val="001663B9"/>
    <w:rsid w:val="00170963"/>
    <w:rsid w:val="00196A41"/>
    <w:rsid w:val="00196D78"/>
    <w:rsid w:val="001A0CD8"/>
    <w:rsid w:val="001B0FA1"/>
    <w:rsid w:val="001B2DDD"/>
    <w:rsid w:val="001C1D1E"/>
    <w:rsid w:val="001C1FF7"/>
    <w:rsid w:val="001F750A"/>
    <w:rsid w:val="00206EA2"/>
    <w:rsid w:val="0021649A"/>
    <w:rsid w:val="0022405F"/>
    <w:rsid w:val="002417DA"/>
    <w:rsid w:val="00260CC0"/>
    <w:rsid w:val="00272228"/>
    <w:rsid w:val="002754E5"/>
    <w:rsid w:val="002911CF"/>
    <w:rsid w:val="002C4515"/>
    <w:rsid w:val="002D0795"/>
    <w:rsid w:val="002D1A7B"/>
    <w:rsid w:val="002D574C"/>
    <w:rsid w:val="002F0BA7"/>
    <w:rsid w:val="002F3AFF"/>
    <w:rsid w:val="00302A4C"/>
    <w:rsid w:val="00303C13"/>
    <w:rsid w:val="00312813"/>
    <w:rsid w:val="00321D93"/>
    <w:rsid w:val="00332554"/>
    <w:rsid w:val="0035506C"/>
    <w:rsid w:val="00361501"/>
    <w:rsid w:val="00371298"/>
    <w:rsid w:val="003A404E"/>
    <w:rsid w:val="003A7C2B"/>
    <w:rsid w:val="003B1FF1"/>
    <w:rsid w:val="003C4C2A"/>
    <w:rsid w:val="003D05B1"/>
    <w:rsid w:val="003D0B5A"/>
    <w:rsid w:val="00402D4D"/>
    <w:rsid w:val="00406D85"/>
    <w:rsid w:val="004214AD"/>
    <w:rsid w:val="004250D0"/>
    <w:rsid w:val="00427C3D"/>
    <w:rsid w:val="004319EC"/>
    <w:rsid w:val="004442BC"/>
    <w:rsid w:val="00452689"/>
    <w:rsid w:val="00483304"/>
    <w:rsid w:val="00487609"/>
    <w:rsid w:val="004B3415"/>
    <w:rsid w:val="004B640A"/>
    <w:rsid w:val="004C021C"/>
    <w:rsid w:val="004C2E82"/>
    <w:rsid w:val="004D2006"/>
    <w:rsid w:val="004D6CCB"/>
    <w:rsid w:val="004D7AF2"/>
    <w:rsid w:val="004E1D59"/>
    <w:rsid w:val="004E3E99"/>
    <w:rsid w:val="0050765F"/>
    <w:rsid w:val="00521037"/>
    <w:rsid w:val="00547C56"/>
    <w:rsid w:val="00550EF6"/>
    <w:rsid w:val="005614EA"/>
    <w:rsid w:val="00565A76"/>
    <w:rsid w:val="0057056D"/>
    <w:rsid w:val="00571F52"/>
    <w:rsid w:val="00582B7F"/>
    <w:rsid w:val="0058716C"/>
    <w:rsid w:val="0059258D"/>
    <w:rsid w:val="0059715A"/>
    <w:rsid w:val="005B15FF"/>
    <w:rsid w:val="005B251D"/>
    <w:rsid w:val="005B2EC2"/>
    <w:rsid w:val="005C2F55"/>
    <w:rsid w:val="005E194D"/>
    <w:rsid w:val="005E7EF4"/>
    <w:rsid w:val="005F09E9"/>
    <w:rsid w:val="005F27E2"/>
    <w:rsid w:val="006003BD"/>
    <w:rsid w:val="006066DD"/>
    <w:rsid w:val="0061350B"/>
    <w:rsid w:val="0062015E"/>
    <w:rsid w:val="006314E0"/>
    <w:rsid w:val="00643D3C"/>
    <w:rsid w:val="0064698F"/>
    <w:rsid w:val="00650B4D"/>
    <w:rsid w:val="0065614C"/>
    <w:rsid w:val="0065641F"/>
    <w:rsid w:val="00662CE8"/>
    <w:rsid w:val="00662F1A"/>
    <w:rsid w:val="006648A4"/>
    <w:rsid w:val="006665A7"/>
    <w:rsid w:val="00670EEC"/>
    <w:rsid w:val="006B2D96"/>
    <w:rsid w:val="006D03F6"/>
    <w:rsid w:val="006E732B"/>
    <w:rsid w:val="0070670B"/>
    <w:rsid w:val="00724821"/>
    <w:rsid w:val="00727E90"/>
    <w:rsid w:val="007604A9"/>
    <w:rsid w:val="00762AED"/>
    <w:rsid w:val="00764034"/>
    <w:rsid w:val="00767689"/>
    <w:rsid w:val="007860A1"/>
    <w:rsid w:val="0079351D"/>
    <w:rsid w:val="00794B8B"/>
    <w:rsid w:val="00797E3A"/>
    <w:rsid w:val="007A1355"/>
    <w:rsid w:val="007B1C9C"/>
    <w:rsid w:val="007B42BD"/>
    <w:rsid w:val="007B5E21"/>
    <w:rsid w:val="007C0C94"/>
    <w:rsid w:val="007D1319"/>
    <w:rsid w:val="007D3993"/>
    <w:rsid w:val="007F5288"/>
    <w:rsid w:val="008062B6"/>
    <w:rsid w:val="0081164A"/>
    <w:rsid w:val="00824273"/>
    <w:rsid w:val="00835214"/>
    <w:rsid w:val="00841E92"/>
    <w:rsid w:val="00850FD5"/>
    <w:rsid w:val="00853FC5"/>
    <w:rsid w:val="00880A2F"/>
    <w:rsid w:val="008825C5"/>
    <w:rsid w:val="008909E7"/>
    <w:rsid w:val="008A7DF2"/>
    <w:rsid w:val="008F601C"/>
    <w:rsid w:val="00903032"/>
    <w:rsid w:val="0090648C"/>
    <w:rsid w:val="009160D8"/>
    <w:rsid w:val="00925E03"/>
    <w:rsid w:val="0095003E"/>
    <w:rsid w:val="00963328"/>
    <w:rsid w:val="00984010"/>
    <w:rsid w:val="00985CBD"/>
    <w:rsid w:val="00986336"/>
    <w:rsid w:val="00996A21"/>
    <w:rsid w:val="009A136E"/>
    <w:rsid w:val="009A4275"/>
    <w:rsid w:val="009B16CE"/>
    <w:rsid w:val="009C40D5"/>
    <w:rsid w:val="009C5342"/>
    <w:rsid w:val="009D38E2"/>
    <w:rsid w:val="009D6101"/>
    <w:rsid w:val="009E2847"/>
    <w:rsid w:val="009E56C9"/>
    <w:rsid w:val="009E6F60"/>
    <w:rsid w:val="009F1F6C"/>
    <w:rsid w:val="009F430E"/>
    <w:rsid w:val="009F4E85"/>
    <w:rsid w:val="00A142F9"/>
    <w:rsid w:val="00A5283E"/>
    <w:rsid w:val="00A543C6"/>
    <w:rsid w:val="00A63EE6"/>
    <w:rsid w:val="00A74BDD"/>
    <w:rsid w:val="00A750E0"/>
    <w:rsid w:val="00A76C66"/>
    <w:rsid w:val="00A867A1"/>
    <w:rsid w:val="00A953A7"/>
    <w:rsid w:val="00AA11FB"/>
    <w:rsid w:val="00AA311E"/>
    <w:rsid w:val="00AA3D64"/>
    <w:rsid w:val="00AC09B2"/>
    <w:rsid w:val="00AC2F40"/>
    <w:rsid w:val="00AC6D3F"/>
    <w:rsid w:val="00AD3497"/>
    <w:rsid w:val="00AE0F83"/>
    <w:rsid w:val="00AE5A41"/>
    <w:rsid w:val="00AE5CF9"/>
    <w:rsid w:val="00AE74ED"/>
    <w:rsid w:val="00AF1F30"/>
    <w:rsid w:val="00AF640D"/>
    <w:rsid w:val="00B0505E"/>
    <w:rsid w:val="00B059B9"/>
    <w:rsid w:val="00B14475"/>
    <w:rsid w:val="00B16C17"/>
    <w:rsid w:val="00B2381D"/>
    <w:rsid w:val="00B26732"/>
    <w:rsid w:val="00B26AA7"/>
    <w:rsid w:val="00B36355"/>
    <w:rsid w:val="00B57CC6"/>
    <w:rsid w:val="00B63A5C"/>
    <w:rsid w:val="00B920FD"/>
    <w:rsid w:val="00B93E30"/>
    <w:rsid w:val="00BA373F"/>
    <w:rsid w:val="00BB123E"/>
    <w:rsid w:val="00BB315E"/>
    <w:rsid w:val="00BC2F5B"/>
    <w:rsid w:val="00BC5634"/>
    <w:rsid w:val="00BC606D"/>
    <w:rsid w:val="00BD2D16"/>
    <w:rsid w:val="00BD3F54"/>
    <w:rsid w:val="00BE7F2C"/>
    <w:rsid w:val="00BF0704"/>
    <w:rsid w:val="00BF385D"/>
    <w:rsid w:val="00C0602B"/>
    <w:rsid w:val="00C070B9"/>
    <w:rsid w:val="00C2732A"/>
    <w:rsid w:val="00C317A4"/>
    <w:rsid w:val="00C34344"/>
    <w:rsid w:val="00C526CA"/>
    <w:rsid w:val="00C569E2"/>
    <w:rsid w:val="00C605DB"/>
    <w:rsid w:val="00C75929"/>
    <w:rsid w:val="00C80AA6"/>
    <w:rsid w:val="00C83025"/>
    <w:rsid w:val="00C954E1"/>
    <w:rsid w:val="00CC0AF5"/>
    <w:rsid w:val="00CC0C89"/>
    <w:rsid w:val="00CC654A"/>
    <w:rsid w:val="00D031B7"/>
    <w:rsid w:val="00D0378E"/>
    <w:rsid w:val="00D06A0B"/>
    <w:rsid w:val="00D1463C"/>
    <w:rsid w:val="00D23B9F"/>
    <w:rsid w:val="00D253B1"/>
    <w:rsid w:val="00D254A0"/>
    <w:rsid w:val="00D25FDB"/>
    <w:rsid w:val="00D26FFC"/>
    <w:rsid w:val="00D32C37"/>
    <w:rsid w:val="00D4379E"/>
    <w:rsid w:val="00D43E1E"/>
    <w:rsid w:val="00D45CFD"/>
    <w:rsid w:val="00D507CA"/>
    <w:rsid w:val="00D74132"/>
    <w:rsid w:val="00D91EAE"/>
    <w:rsid w:val="00DA3817"/>
    <w:rsid w:val="00DB2827"/>
    <w:rsid w:val="00DC7979"/>
    <w:rsid w:val="00DD049A"/>
    <w:rsid w:val="00DF68BA"/>
    <w:rsid w:val="00DF6F97"/>
    <w:rsid w:val="00E052E6"/>
    <w:rsid w:val="00E07199"/>
    <w:rsid w:val="00E21218"/>
    <w:rsid w:val="00E25A46"/>
    <w:rsid w:val="00E26526"/>
    <w:rsid w:val="00E426E8"/>
    <w:rsid w:val="00E438A7"/>
    <w:rsid w:val="00E445CF"/>
    <w:rsid w:val="00E71286"/>
    <w:rsid w:val="00E72E3D"/>
    <w:rsid w:val="00E90D02"/>
    <w:rsid w:val="00E93265"/>
    <w:rsid w:val="00EA6453"/>
    <w:rsid w:val="00EB1924"/>
    <w:rsid w:val="00EB260A"/>
    <w:rsid w:val="00EE0DC4"/>
    <w:rsid w:val="00EE2393"/>
    <w:rsid w:val="00EE40C7"/>
    <w:rsid w:val="00EE6004"/>
    <w:rsid w:val="00EE7B11"/>
    <w:rsid w:val="00F17CFB"/>
    <w:rsid w:val="00F20C41"/>
    <w:rsid w:val="00F2394C"/>
    <w:rsid w:val="00F32E72"/>
    <w:rsid w:val="00F47E17"/>
    <w:rsid w:val="00F53B4C"/>
    <w:rsid w:val="00F6157C"/>
    <w:rsid w:val="00F67DA2"/>
    <w:rsid w:val="00F72F8B"/>
    <w:rsid w:val="00F73128"/>
    <w:rsid w:val="00F80F19"/>
    <w:rsid w:val="00F87DBF"/>
    <w:rsid w:val="00F90231"/>
    <w:rsid w:val="00F92C51"/>
    <w:rsid w:val="00FA6714"/>
    <w:rsid w:val="00FC0533"/>
    <w:rsid w:val="00FC30D3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Hyperlink">
    <w:name w:val="Hyperlink"/>
    <w:basedOn w:val="Fontepargpadro"/>
    <w:uiPriority w:val="99"/>
    <w:unhideWhenUsed/>
    <w:rsid w:val="00BC5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lins@tjpe.jus.br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A89C-8082-419D-8A4A-ECAA67BB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1935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rrrb</dc:creator>
  <cp:keywords/>
  <dc:description/>
  <cp:lastModifiedBy>Antônio Domingos Luna Costa</cp:lastModifiedBy>
  <cp:revision>6</cp:revision>
  <cp:lastPrinted>2017-06-05T20:03:00Z</cp:lastPrinted>
  <dcterms:created xsi:type="dcterms:W3CDTF">2017-05-30T14:22:00Z</dcterms:created>
  <dcterms:modified xsi:type="dcterms:W3CDTF">2017-06-05T20:03:00Z</dcterms:modified>
</cp:coreProperties>
</file>