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14:paraId="635AB84F" w14:textId="77777777" w:rsidTr="009E56C9">
        <w:trPr>
          <w:trHeight w:val="242"/>
        </w:trPr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0892" w:type="dxa"/>
              </w:tcPr>
              <w:p w14:paraId="524605D6" w14:textId="13F2C489" w:rsidR="00FC0533" w:rsidRPr="009E56C9" w:rsidRDefault="007152BA" w:rsidP="0011422F">
                <w:pPr>
                  <w:spacing w:after="0" w:line="240" w:lineRule="auto"/>
                  <w:contextualSpacing/>
                  <w:jc w:val="center"/>
                </w:pPr>
                <w:r>
                  <w:t>Aquisição de estantes de aço para a Unidade de Gestão de Ativos de TIC no novo depósito de Jaboatão</w:t>
                </w:r>
              </w:p>
            </w:tc>
          </w:sdtContent>
        </w:sdt>
      </w:tr>
    </w:tbl>
    <w:p w14:paraId="2A5D992D" w14:textId="77777777" w:rsidR="00196A41" w:rsidRDefault="00196A41" w:rsidP="00FA6714">
      <w:pPr>
        <w:pStyle w:val="PargrafodaLista"/>
        <w:spacing w:line="240" w:lineRule="auto"/>
        <w:ind w:left="357"/>
      </w:pPr>
    </w:p>
    <w:p w14:paraId="63CA0B18" w14:textId="77777777"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14:paraId="66B2B9FE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91876F4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A984350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5E5B1147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14:paraId="7EEB0156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1962002" w14:textId="170FF477" w:rsidR="00D15658" w:rsidRPr="0065641F" w:rsidRDefault="004B241E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Anna Cláudia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6EBA8" w14:textId="7D14F82A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anna.claudia</w:t>
            </w:r>
            <w:r w:rsidR="00F2256B">
              <w:rPr>
                <w:sz w:val="18"/>
                <w:szCs w:val="18"/>
              </w:rPr>
              <w:t>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4C9B5A7B" w14:textId="0727B3BD" w:rsidR="00D15658" w:rsidRPr="0065641F" w:rsidRDefault="00F2256B" w:rsidP="004B241E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</w:t>
            </w:r>
            <w:r w:rsidR="004B241E">
              <w:rPr>
                <w:sz w:val="18"/>
                <w:szCs w:val="18"/>
              </w:rPr>
              <w:t>479</w:t>
            </w:r>
          </w:p>
        </w:tc>
      </w:tr>
      <w:tr w:rsidR="00D15658" w:rsidRPr="009E5B71" w14:paraId="3249D236" w14:textId="77777777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14:paraId="189F4C96" w14:textId="77777777"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14:paraId="32F184C2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512328A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629B891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799A63BF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14:paraId="0B4B176F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67ECF61" w14:textId="77777777" w:rsidR="00D15658" w:rsidRPr="0065641F" w:rsidRDefault="00F2256B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 ao Usuário de TIC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252" w14:textId="44E0894E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Ativos de TIC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2253FE2F" w14:textId="77777777"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ACEC64E" w14:textId="77777777" w:rsidR="00BA373F" w:rsidRDefault="00BA373F" w:rsidP="00A74BDD">
      <w:pPr>
        <w:pStyle w:val="PargrafodaLista"/>
        <w:spacing w:line="240" w:lineRule="auto"/>
        <w:ind w:left="357"/>
      </w:pPr>
    </w:p>
    <w:p w14:paraId="499A7507" w14:textId="77777777"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14:paraId="45886D73" w14:textId="77777777"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14:paraId="1DDBC1CD" w14:textId="77777777"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14:paraId="1B8730F1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A693F7" w14:textId="1BB973D1" w:rsidR="00C9109E" w:rsidRPr="00BB123E" w:rsidRDefault="005D749C" w:rsidP="0011422F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sdt>
              <w:sdtPr>
                <w:alias w:val="Assunto"/>
                <w:tag w:val=""/>
                <w:id w:val="171612150"/>
                <w:placeholder>
                  <w:docPart w:val="67D7D95334D5484BB8DD741908CED01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7152BA">
                  <w:t>Aquisição de estantes de aço para a Unidade de Gestão de Ativos de TIC no novo depósito de Jaboatão</w:t>
                </w:r>
              </w:sdtContent>
            </w:sdt>
            <w:r w:rsidR="00F2256B">
              <w:rPr>
                <w:sz w:val="18"/>
                <w:szCs w:val="18"/>
              </w:rPr>
              <w:t>.</w:t>
            </w:r>
          </w:p>
        </w:tc>
      </w:tr>
      <w:tr w:rsidR="00BA373F" w:rsidRPr="009E56C9" w14:paraId="7786CE26" w14:textId="77777777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14:paraId="2C6D4899" w14:textId="77777777"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14:paraId="099F8D55" w14:textId="77777777"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448AEE6C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8FD9D5E" w14:textId="050C97A2" w:rsidR="00BB123E" w:rsidRPr="004B241E" w:rsidRDefault="003B67D7" w:rsidP="007152BA">
            <w:pPr>
              <w:pStyle w:val="PargrafodaLista"/>
              <w:spacing w:after="0" w:line="240" w:lineRule="auto"/>
              <w:ind w:left="173"/>
              <w:jc w:val="both"/>
            </w:pPr>
            <w:r>
              <w:t>A</w:t>
            </w:r>
            <w:r w:rsidR="00F2256B" w:rsidRPr="004B241E">
              <w:t xml:space="preserve"> </w:t>
            </w:r>
            <w:r w:rsidR="0011422F">
              <w:t xml:space="preserve">aquisição das estantes se faz </w:t>
            </w:r>
            <w:r w:rsidR="00F2256B" w:rsidRPr="004B241E">
              <w:t>necessária para</w:t>
            </w:r>
            <w:r w:rsidR="0011422F">
              <w:t xml:space="preserve"> otimizar o espaço de armazenagem e garantir maior segurança na manipulação, controle e estocagem dos equipamentos de </w:t>
            </w:r>
            <w:r w:rsidR="007152BA">
              <w:t>TIC.</w:t>
            </w:r>
          </w:p>
        </w:tc>
      </w:tr>
    </w:tbl>
    <w:p w14:paraId="20E985D2" w14:textId="77777777" w:rsidR="00452689" w:rsidRPr="004B241E" w:rsidRDefault="00452689" w:rsidP="00452689">
      <w:pPr>
        <w:pStyle w:val="PargrafodaLista"/>
        <w:spacing w:line="240" w:lineRule="auto"/>
        <w:ind w:left="360"/>
      </w:pPr>
    </w:p>
    <w:p w14:paraId="39BF81F0" w14:textId="77777777"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2F80C139" w14:textId="77777777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2E893F5" w14:textId="6EA7138D" w:rsidR="00BB123E" w:rsidRPr="004B241E" w:rsidRDefault="0011422F" w:rsidP="00916B93">
            <w:pPr>
              <w:pStyle w:val="PargrafodaLista"/>
              <w:spacing w:after="0" w:line="240" w:lineRule="auto"/>
              <w:ind w:left="173"/>
              <w:jc w:val="both"/>
            </w:pPr>
            <w:r>
              <w:t xml:space="preserve">Melhoria no processo de controle patrimonial </w:t>
            </w:r>
            <w:r w:rsidR="007152BA">
              <w:t>dos Ativos de TIC do TJPE.</w:t>
            </w:r>
          </w:p>
        </w:tc>
      </w:tr>
    </w:tbl>
    <w:p w14:paraId="7981696B" w14:textId="77777777" w:rsidR="00BA373F" w:rsidRDefault="00BA373F" w:rsidP="004B241E">
      <w:pPr>
        <w:pStyle w:val="PargrafodaLista"/>
        <w:spacing w:after="0" w:line="240" w:lineRule="auto"/>
        <w:ind w:left="173"/>
        <w:jc w:val="both"/>
      </w:pPr>
    </w:p>
    <w:p w14:paraId="74B62A2D" w14:textId="77777777"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14:paraId="51C51E6C" w14:textId="77777777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14:paraId="0B7CE761" w14:textId="77777777"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14:paraId="2CEC2108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2CF931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08C1D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14:paraId="305E861D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BC0A57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E5B506" w14:textId="77777777"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354BE5B2" w14:textId="77777777"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14:paraId="1035F67D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3BB7AB5E" w14:textId="77777777"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14:paraId="62FDBC3C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DDBE0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8D846" w14:textId="77777777" w:rsidR="00D15658" w:rsidRPr="009E56C9" w:rsidRDefault="00D15658" w:rsidP="002D1E3C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434CE5B7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B480D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77F70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064AB8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158853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BD91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D15658" w:rsidRPr="009E56C9" w14:paraId="5F04F92A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11149E2E" w14:textId="77777777"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14:paraId="7C72B4F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7B1C6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BD9E3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1A589096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4C629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18304B7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9BDAA5F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AF957F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50707A9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2C3DDF65" w14:textId="77777777"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14:paraId="5CAFFA36" w14:textId="77777777"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4"/>
        <w:gridCol w:w="7002"/>
      </w:tblGrid>
      <w:tr w:rsidR="00767689" w:rsidRPr="009E56C9" w14:paraId="382D3ADC" w14:textId="77777777" w:rsidTr="00EC316B">
        <w:tc>
          <w:tcPr>
            <w:tcW w:w="3760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661EBF42" w14:textId="77777777"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2" w:type="dxa"/>
            <w:tcBorders>
              <w:top w:val="single" w:sz="12" w:space="0" w:color="auto"/>
            </w:tcBorders>
            <w:shd w:val="pct10" w:color="auto" w:fill="auto"/>
          </w:tcPr>
          <w:p w14:paraId="449C386B" w14:textId="77777777"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14:paraId="7EE22605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37E988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6D78F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8319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14:paraId="10060C7C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97D4F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92453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3823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5319A87F" w14:textId="77777777" w:rsidR="005E194D" w:rsidRDefault="005E194D" w:rsidP="00FA6714">
      <w:pPr>
        <w:pStyle w:val="PargrafodaLista"/>
        <w:spacing w:line="240" w:lineRule="auto"/>
        <w:ind w:left="360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14:paraId="4DE5B966" w14:textId="77777777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1A61EA81" w14:textId="77777777"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96E0C96" w14:textId="77777777"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14:paraId="71F14E34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064EE8" w14:textId="77777777"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0DCD61" w14:textId="213A504B" w:rsidR="0022405F" w:rsidRPr="00767689" w:rsidRDefault="00720F0C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8CFDCC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59B68A19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520B96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936C82" w14:textId="77777777" w:rsidR="00851986" w:rsidRPr="009E56C9" w:rsidRDefault="00851986" w:rsidP="00851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986" w:rsidRPr="009E56C9" w14:paraId="625D3613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ADCB6E0" w14:textId="552722BD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720F0C">
              <w:rPr>
                <w:sz w:val="16"/>
                <w:szCs w:val="16"/>
              </w:rPr>
              <w:t>178575-3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608865" w14:textId="77777777" w:rsidR="00851986" w:rsidRPr="009E56C9" w:rsidRDefault="00851986" w:rsidP="002D1E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</w:p>
        </w:tc>
      </w:tr>
      <w:tr w:rsidR="005E194D" w:rsidRPr="009E56C9" w14:paraId="77D0348A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F05743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506F72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14:paraId="086BDCFF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80F5" w14:textId="29BE1B94" w:rsidR="005E194D" w:rsidRPr="005E194D" w:rsidRDefault="00851986" w:rsidP="00720F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720F0C">
              <w:rPr>
                <w:b/>
                <w:sz w:val="16"/>
                <w:szCs w:val="16"/>
              </w:rPr>
              <w:t xml:space="preserve">11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20F0C">
              <w:rPr>
                <w:b/>
                <w:sz w:val="16"/>
                <w:szCs w:val="16"/>
              </w:rPr>
              <w:t>setembro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20F0C">
              <w:rPr>
                <w:b/>
                <w:sz w:val="16"/>
                <w:szCs w:val="16"/>
              </w:rPr>
              <w:t>de 2017</w:t>
            </w:r>
          </w:p>
        </w:tc>
      </w:tr>
    </w:tbl>
    <w:p w14:paraId="2D09D9A3" w14:textId="77777777" w:rsidR="003D0B5A" w:rsidRPr="00CE3457" w:rsidRDefault="003D0B5A" w:rsidP="00CE3457">
      <w:pPr>
        <w:rPr>
          <w:sz w:val="20"/>
        </w:rPr>
        <w:sectPr w:rsidR="003D0B5A" w:rsidRPr="00CE3457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DEF0220" w14:textId="5D2B8B2A" w:rsidR="00E445CF" w:rsidRPr="009E56C9" w:rsidRDefault="0011422F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 xml:space="preserve">Aquisição de estantes de aço para a Unidade de Gestão de Ativos de TIC no </w:t>
          </w:r>
          <w:r w:rsidR="007152BA">
            <w:t xml:space="preserve">novo </w:t>
          </w:r>
          <w:r>
            <w:t>depósito de Jaboatão</w:t>
          </w:r>
        </w:p>
      </w:sdtContent>
    </w:sdt>
    <w:p w14:paraId="05318382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578ECBB2" w14:textId="77777777"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14:paraId="1C2951B8" w14:textId="77777777"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14:paraId="7830C274" w14:textId="77777777"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748"/>
        <w:gridCol w:w="1298"/>
        <w:gridCol w:w="1298"/>
      </w:tblGrid>
      <w:tr w:rsidR="00420902" w14:paraId="3C483748" w14:textId="77777777" w:rsidTr="00CF2EA9">
        <w:trPr>
          <w:jc w:val="center"/>
        </w:trPr>
        <w:tc>
          <w:tcPr>
            <w:tcW w:w="686" w:type="dxa"/>
          </w:tcPr>
          <w:p w14:paraId="01A0C857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748" w:type="dxa"/>
          </w:tcPr>
          <w:p w14:paraId="1032702D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98" w:type="dxa"/>
          </w:tcPr>
          <w:p w14:paraId="7A061529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298" w:type="dxa"/>
          </w:tcPr>
          <w:p w14:paraId="5666AEAE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420902" w:rsidRPr="00F2256B" w14:paraId="219284C8" w14:textId="77777777" w:rsidTr="00CF2EA9">
        <w:trPr>
          <w:jc w:val="center"/>
        </w:trPr>
        <w:tc>
          <w:tcPr>
            <w:tcW w:w="686" w:type="dxa"/>
          </w:tcPr>
          <w:p w14:paraId="397D987A" w14:textId="77777777" w:rsidR="00420902" w:rsidRPr="00F2256B" w:rsidRDefault="00420902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225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48" w:type="dxa"/>
          </w:tcPr>
          <w:p w14:paraId="0A449CAA" w14:textId="77777777" w:rsidR="00746D04" w:rsidRPr="00A613A0" w:rsidRDefault="00746D04" w:rsidP="00746D04">
            <w:pPr>
              <w:jc w:val="both"/>
              <w:rPr>
                <w:rFonts w:cs="Arial"/>
                <w:color w:val="000000"/>
                <w:sz w:val="20"/>
              </w:rPr>
            </w:pPr>
            <w:r w:rsidRPr="00746D04">
              <w:rPr>
                <w:sz w:val="20"/>
                <w:szCs w:val="20"/>
              </w:rPr>
              <w:t xml:space="preserve">Estrutura de aço autoportante, desmontável, confeccionada em chapa de aço galvanizado 14USG, com 06 (seis) prateleiras reguláveis (em chapa 18), cantos dobrados, com bases niveladoras para regulagem ao piso, medindo: altura (incluindo a base): De 1.980mm à 2.100mm; Largura: De 800mm à 920mm e Profundidade: De 500 à 600mm. Pintura eletrostática </w:t>
            </w:r>
            <w:proofErr w:type="gramStart"/>
            <w:r w:rsidRPr="00746D04">
              <w:rPr>
                <w:sz w:val="20"/>
                <w:szCs w:val="20"/>
              </w:rPr>
              <w:t>à pó</w:t>
            </w:r>
            <w:proofErr w:type="gramEnd"/>
            <w:r w:rsidRPr="00746D04">
              <w:rPr>
                <w:sz w:val="20"/>
                <w:szCs w:val="20"/>
              </w:rPr>
              <w:t xml:space="preserve"> (epóxi poliéster) na cor</w:t>
            </w:r>
            <w:r>
              <w:rPr>
                <w:sz w:val="20"/>
                <w:szCs w:val="20"/>
              </w:rPr>
              <w:t xml:space="preserve"> </w:t>
            </w:r>
            <w:r w:rsidRPr="00746D04">
              <w:rPr>
                <w:sz w:val="20"/>
                <w:szCs w:val="20"/>
              </w:rPr>
              <w:t xml:space="preserve">cinza claro, aplicada mediante processo por </w:t>
            </w:r>
            <w:proofErr w:type="spellStart"/>
            <w:r w:rsidRPr="00746D04">
              <w:rPr>
                <w:sz w:val="20"/>
                <w:szCs w:val="20"/>
              </w:rPr>
              <w:t>fosfatização</w:t>
            </w:r>
            <w:proofErr w:type="spellEnd"/>
            <w:r w:rsidRPr="00746D04">
              <w:rPr>
                <w:sz w:val="20"/>
                <w:szCs w:val="20"/>
              </w:rPr>
              <w:t xml:space="preserve"> por imersão. Estrutura em</w:t>
            </w:r>
            <w:r>
              <w:rPr>
                <w:sz w:val="20"/>
                <w:szCs w:val="20"/>
              </w:rPr>
              <w:t xml:space="preserve"> </w:t>
            </w:r>
            <w:r w:rsidRPr="00A613A0">
              <w:rPr>
                <w:rFonts w:cs="Arial"/>
                <w:color w:val="000000"/>
                <w:sz w:val="20"/>
              </w:rPr>
              <w:t xml:space="preserve">cantoneira perfurada. Prateleiras com capacidade de carga de no mínimo 100kg, uniformemente distribuídos, com regulagem de altura do vão. Reforço ômega na parte interna. </w:t>
            </w:r>
          </w:p>
          <w:p w14:paraId="224F5990" w14:textId="76E5DAD8" w:rsidR="00420902" w:rsidRPr="006F0893" w:rsidRDefault="00746D04" w:rsidP="00720F0C">
            <w:pPr>
              <w:spacing w:line="240" w:lineRule="auto"/>
              <w:rPr>
                <w:sz w:val="20"/>
                <w:szCs w:val="20"/>
              </w:rPr>
            </w:pPr>
            <w:r w:rsidRPr="00746D04">
              <w:rPr>
                <w:sz w:val="20"/>
                <w:szCs w:val="20"/>
              </w:rPr>
              <w:t>Garantia de 05 anos</w:t>
            </w:r>
          </w:p>
        </w:tc>
        <w:tc>
          <w:tcPr>
            <w:tcW w:w="1298" w:type="dxa"/>
          </w:tcPr>
          <w:p w14:paraId="592BA99A" w14:textId="77777777" w:rsidR="00420902" w:rsidRPr="00CF2EA9" w:rsidRDefault="00420902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EA9"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7B164CF0" w14:textId="61E101D6" w:rsidR="00420902" w:rsidRPr="00CA3F34" w:rsidRDefault="00916B93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6D04" w:rsidRPr="00F2256B" w14:paraId="182A1330" w14:textId="77777777" w:rsidTr="00CF2EA9">
        <w:trPr>
          <w:jc w:val="center"/>
        </w:trPr>
        <w:tc>
          <w:tcPr>
            <w:tcW w:w="686" w:type="dxa"/>
          </w:tcPr>
          <w:p w14:paraId="2EECC039" w14:textId="212ECA1E" w:rsidR="00746D04" w:rsidRPr="00F2256B" w:rsidRDefault="00746D04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48" w:type="dxa"/>
          </w:tcPr>
          <w:p w14:paraId="2A9BDBB9" w14:textId="77777777" w:rsidR="00746D04" w:rsidRPr="00746D04" w:rsidRDefault="00746D04" w:rsidP="00746D04">
            <w:pPr>
              <w:jc w:val="both"/>
              <w:rPr>
                <w:sz w:val="20"/>
                <w:szCs w:val="20"/>
              </w:rPr>
            </w:pPr>
            <w:r w:rsidRPr="00746D04">
              <w:rPr>
                <w:sz w:val="20"/>
                <w:szCs w:val="20"/>
              </w:rPr>
              <w:t xml:space="preserve">Estrutura de aço autoportante, desmontável, confeccionada em chapa de aço galvanizado 14USG, com 06 (seis) prateleiras reguláveis (em chapa 18), cantos dobrados, com bases niveladoras para regulagem ao piso, medindo: altura (incluindo a base): De 1.980mm à 2.100mm; Largura: De 1.000 à 1.200mm e Profundidade: De 500 à 600mm. Pintura eletrostática </w:t>
            </w:r>
            <w:proofErr w:type="gramStart"/>
            <w:r w:rsidRPr="00746D04">
              <w:rPr>
                <w:sz w:val="20"/>
                <w:szCs w:val="20"/>
              </w:rPr>
              <w:t>à pó</w:t>
            </w:r>
            <w:proofErr w:type="gramEnd"/>
            <w:r w:rsidRPr="00746D04">
              <w:rPr>
                <w:sz w:val="20"/>
                <w:szCs w:val="20"/>
              </w:rPr>
              <w:t xml:space="preserve"> (epóxi poliéster) na cor cinza claro, aplicada mediante processo por </w:t>
            </w:r>
            <w:proofErr w:type="spellStart"/>
            <w:r w:rsidRPr="00746D04">
              <w:rPr>
                <w:sz w:val="20"/>
                <w:szCs w:val="20"/>
              </w:rPr>
              <w:t>fosfatização</w:t>
            </w:r>
            <w:proofErr w:type="spellEnd"/>
            <w:r w:rsidRPr="00746D04">
              <w:rPr>
                <w:sz w:val="20"/>
                <w:szCs w:val="20"/>
              </w:rPr>
              <w:t xml:space="preserve"> por imersão. Estrutura em cantoneira perfurada. Prateleiras com capacidade de carga de no mínimo 100kg, uniformemente distribuídos, com regulagem de altura do vão. Reforço ômega na parte interna. </w:t>
            </w:r>
          </w:p>
          <w:p w14:paraId="38491229" w14:textId="77777777" w:rsidR="00746D04" w:rsidRPr="00746D04" w:rsidRDefault="00746D04" w:rsidP="00746D04">
            <w:pPr>
              <w:jc w:val="both"/>
              <w:rPr>
                <w:sz w:val="20"/>
                <w:szCs w:val="20"/>
              </w:rPr>
            </w:pPr>
          </w:p>
          <w:p w14:paraId="4B971902" w14:textId="664A9372" w:rsidR="00746D04" w:rsidRPr="00746D04" w:rsidRDefault="00746D04" w:rsidP="00746D04">
            <w:pPr>
              <w:jc w:val="both"/>
              <w:rPr>
                <w:sz w:val="20"/>
                <w:szCs w:val="20"/>
              </w:rPr>
            </w:pPr>
            <w:r w:rsidRPr="00746D04">
              <w:rPr>
                <w:sz w:val="20"/>
                <w:szCs w:val="20"/>
              </w:rPr>
              <w:t>Garantia de 05 anos</w:t>
            </w:r>
          </w:p>
        </w:tc>
        <w:tc>
          <w:tcPr>
            <w:tcW w:w="1298" w:type="dxa"/>
          </w:tcPr>
          <w:p w14:paraId="7EA73472" w14:textId="69B0DA9E" w:rsidR="00746D04" w:rsidRPr="00CF2EA9" w:rsidRDefault="00746D04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EA9"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6F93E7A2" w14:textId="40BFC274" w:rsidR="00746D04" w:rsidRDefault="00746D04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C2C2F53" w14:textId="77777777" w:rsidR="000D2A25" w:rsidRPr="003A19DF" w:rsidRDefault="000D2A25" w:rsidP="000D2A25">
      <w:pPr>
        <w:spacing w:line="240" w:lineRule="auto"/>
        <w:rPr>
          <w:b/>
        </w:rPr>
      </w:pPr>
    </w:p>
    <w:p w14:paraId="36205ABF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2526AD96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4611D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14:paraId="57DE167A" w14:textId="77777777" w:rsidR="003D0B5A" w:rsidRPr="00EB1924" w:rsidRDefault="003D0B5A" w:rsidP="00767689">
      <w:pPr>
        <w:spacing w:line="240" w:lineRule="auto"/>
        <w:rPr>
          <w:sz w:val="20"/>
        </w:rPr>
      </w:pPr>
    </w:p>
    <w:p w14:paraId="7E112EFE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0C11F86C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444BCF5" w14:textId="4F21CA16" w:rsidR="00EB1924" w:rsidRPr="00BB123E" w:rsidRDefault="002D3511" w:rsidP="007152BA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necessário para </w:t>
            </w:r>
            <w:r w:rsidR="007152BA">
              <w:rPr>
                <w:sz w:val="18"/>
                <w:szCs w:val="18"/>
              </w:rPr>
              <w:t>organizar e estocar os</w:t>
            </w:r>
            <w:r w:rsidR="004B241E">
              <w:rPr>
                <w:sz w:val="18"/>
                <w:szCs w:val="18"/>
              </w:rPr>
              <w:t xml:space="preserve"> equipamentos </w:t>
            </w:r>
            <w:r w:rsidR="007152BA">
              <w:rPr>
                <w:sz w:val="18"/>
                <w:szCs w:val="18"/>
              </w:rPr>
              <w:t>de TIC no novo depósito de Jaboatão</w:t>
            </w:r>
          </w:p>
        </w:tc>
      </w:tr>
    </w:tbl>
    <w:p w14:paraId="2873ECA0" w14:textId="77777777" w:rsidR="000561B6" w:rsidRDefault="000561B6" w:rsidP="00767689">
      <w:pPr>
        <w:spacing w:line="240" w:lineRule="auto"/>
        <w:rPr>
          <w:b/>
          <w:sz w:val="20"/>
        </w:rPr>
      </w:pPr>
    </w:p>
    <w:p w14:paraId="0249821B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7C466B09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911005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necessidade de adequação do ambiente.</w:t>
            </w:r>
          </w:p>
        </w:tc>
      </w:tr>
    </w:tbl>
    <w:p w14:paraId="348524EB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19827CB3" w14:textId="77777777" w:rsidR="00923E02" w:rsidRPr="00923E02" w:rsidRDefault="00923E02" w:rsidP="00923E02">
      <w:pPr>
        <w:spacing w:line="240" w:lineRule="auto"/>
        <w:rPr>
          <w:b/>
        </w:rPr>
      </w:pPr>
    </w:p>
    <w:p w14:paraId="1805B74B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lastRenderedPageBreak/>
        <w:t>Outras Informações</w:t>
      </w:r>
    </w:p>
    <w:p w14:paraId="2E557B9C" w14:textId="77777777"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14:paraId="2073CE77" w14:textId="77777777"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14:paraId="5361F8CB" w14:textId="3C16ED59" w:rsidR="009C7BCE" w:rsidRDefault="007152BA" w:rsidP="009C7BCE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rStyle w:val="texto01"/>
        </w:rPr>
        <w:t>BR 101 SUL</w:t>
      </w:r>
      <w:r w:rsidR="009C7BCE">
        <w:rPr>
          <w:rStyle w:val="texto01"/>
        </w:rPr>
        <w:t xml:space="preserve">, </w:t>
      </w:r>
      <w:r>
        <w:rPr>
          <w:rStyle w:val="texto01"/>
        </w:rPr>
        <w:t>KM80</w:t>
      </w:r>
      <w:r w:rsidR="009C7BCE">
        <w:rPr>
          <w:rStyle w:val="texto01"/>
        </w:rPr>
        <w:t xml:space="preserve"> - </w:t>
      </w:r>
      <w:r>
        <w:rPr>
          <w:rStyle w:val="texto01"/>
        </w:rPr>
        <w:t>Prazeres</w:t>
      </w:r>
      <w:r w:rsidR="00476E5D">
        <w:rPr>
          <w:rStyle w:val="texto01"/>
        </w:rPr>
        <w:t xml:space="preserve"> - CEP</w:t>
      </w:r>
      <w:r w:rsidR="009C7BCE">
        <w:rPr>
          <w:rStyle w:val="texto01"/>
        </w:rPr>
        <w:t>: 5</w:t>
      </w:r>
      <w:r>
        <w:rPr>
          <w:rStyle w:val="texto01"/>
        </w:rPr>
        <w:t>4335</w:t>
      </w:r>
      <w:r w:rsidR="009C7BCE">
        <w:rPr>
          <w:rStyle w:val="texto01"/>
        </w:rPr>
        <w:t>-</w:t>
      </w:r>
      <w:r>
        <w:rPr>
          <w:rStyle w:val="texto01"/>
        </w:rPr>
        <w:t>0</w:t>
      </w:r>
      <w:r w:rsidR="009C7BCE">
        <w:rPr>
          <w:rStyle w:val="texto01"/>
        </w:rPr>
        <w:t>00 </w:t>
      </w:r>
    </w:p>
    <w:p w14:paraId="25B9E8CB" w14:textId="1C86A067" w:rsidR="007152BA" w:rsidRDefault="007152BA" w:rsidP="001056A8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Galpão do Depósito de Patrimônio do TJPE</w:t>
      </w:r>
    </w:p>
    <w:p w14:paraId="15C466F4" w14:textId="31273FAB" w:rsidR="001056A8" w:rsidRPr="00847101" w:rsidRDefault="00476E5D" w:rsidP="001056A8">
      <w:pPr>
        <w:pStyle w:val="PargrafodaLista"/>
        <w:spacing w:line="240" w:lineRule="auto"/>
        <w:ind w:left="426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Unidade responsável: </w:t>
      </w:r>
      <w:r w:rsidR="008B464C">
        <w:rPr>
          <w:sz w:val="20"/>
          <w:szCs w:val="20"/>
        </w:rPr>
        <w:t xml:space="preserve">SETIC – GEATIV - </w:t>
      </w:r>
      <w:r w:rsidR="00FC04B2">
        <w:rPr>
          <w:sz w:val="20"/>
          <w:szCs w:val="20"/>
        </w:rPr>
        <w:t>Unidade de Gestão de Ativos de TIC-UGAT</w:t>
      </w:r>
      <w:r w:rsidR="002D3511">
        <w:rPr>
          <w:sz w:val="20"/>
          <w:szCs w:val="20"/>
        </w:rPr>
        <w:t>.</w:t>
      </w:r>
      <w:r w:rsidR="009C7BCE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14:paraId="22F9F371" w14:textId="77777777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AAE4934" w14:textId="77777777"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3B09F5" w14:textId="77777777" w:rsidR="001056A8" w:rsidRPr="00BB4DDD" w:rsidRDefault="001056A8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</w:p>
        </w:tc>
      </w:tr>
    </w:tbl>
    <w:p w14:paraId="69FCFE34" w14:textId="77777777" w:rsidR="001056A8" w:rsidRPr="001056A8" w:rsidRDefault="001056A8" w:rsidP="001056A8">
      <w:pPr>
        <w:spacing w:line="240" w:lineRule="auto"/>
        <w:rPr>
          <w:sz w:val="20"/>
          <w:szCs w:val="20"/>
        </w:rPr>
      </w:pPr>
    </w:p>
    <w:p w14:paraId="29B10E06" w14:textId="77777777"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81"/>
      </w:tblGrid>
      <w:tr w:rsidR="00923E02" w:rsidRPr="005E194D" w14:paraId="47016D2A" w14:textId="77777777" w:rsidTr="00923E0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0873BCB2" w14:textId="36CCA160" w:rsidR="00923E02" w:rsidRPr="005E194D" w:rsidRDefault="00923E02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Técnico/Requisitante</w:t>
            </w:r>
          </w:p>
        </w:tc>
        <w:tc>
          <w:tcPr>
            <w:tcW w:w="2581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2B8C78C2" w14:textId="77777777" w:rsidR="00923E02" w:rsidRPr="005E194D" w:rsidRDefault="00923E02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923E02" w:rsidRPr="009E56C9" w14:paraId="538E2DE7" w14:textId="77777777" w:rsidTr="00923E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7266D41" w14:textId="4DB30D57" w:rsidR="00923E02" w:rsidRPr="00767689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49F6CE" w14:textId="77777777" w:rsidR="00923E02" w:rsidRPr="009E56C9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23E02" w:rsidRPr="009E56C9" w14:paraId="70A58986" w14:textId="77777777" w:rsidTr="00923E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83D482" w14:textId="77777777" w:rsidR="00923E02" w:rsidRPr="009E56C9" w:rsidRDefault="00923E02" w:rsidP="00923E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F15DBA" w14:textId="77777777" w:rsidR="00923E02" w:rsidRPr="009E56C9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23E02" w:rsidRPr="009E56C9" w14:paraId="6C825B5D" w14:textId="77777777" w:rsidTr="00923E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E3041E3" w14:textId="77777777" w:rsidR="00923E02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CLÁUDIA ARAÚJO </w:t>
            </w:r>
          </w:p>
          <w:p w14:paraId="1999DB88" w14:textId="3C5C6D4B" w:rsidR="00923E02" w:rsidRPr="009E56C9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178575-3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C3F179" w14:textId="2B1FED01" w:rsidR="00923E02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 de Souza</w:t>
            </w:r>
          </w:p>
          <w:p w14:paraId="792A72C8" w14:textId="02D40307" w:rsidR="00923E02" w:rsidRPr="009E56C9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923E02" w:rsidRPr="009E56C9" w14:paraId="70CC2180" w14:textId="77777777" w:rsidTr="00923E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7F09A" w14:textId="77777777" w:rsidR="00923E02" w:rsidRPr="009E56C9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2FF62" w14:textId="77777777" w:rsidR="00923E02" w:rsidRPr="009E56C9" w:rsidRDefault="00923E02" w:rsidP="00923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23E02" w:rsidRPr="005E194D" w14:paraId="1C197A90" w14:textId="77777777" w:rsidTr="00923E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0F9A" w14:textId="04610225" w:rsidR="00923E02" w:rsidRPr="005E194D" w:rsidRDefault="00923E02" w:rsidP="00923E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13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outubro de 2017</w:t>
            </w:r>
          </w:p>
        </w:tc>
      </w:tr>
    </w:tbl>
    <w:p w14:paraId="187FA435" w14:textId="77777777" w:rsidR="00DA3817" w:rsidRDefault="00DA3817" w:rsidP="003D0B5A">
      <w:pPr>
        <w:rPr>
          <w:sz w:val="20"/>
        </w:rPr>
        <w:sectPr w:rsidR="00DA3817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C15EB5D" w14:textId="24E92C64" w:rsidR="00EE2393" w:rsidRPr="009E56C9" w:rsidRDefault="007152BA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estantes de aço para a Unidade de Gestão de Ativos de TIC no novo depósito de Jaboatão</w:t>
          </w:r>
        </w:p>
      </w:sdtContent>
    </w:sdt>
    <w:p w14:paraId="1FF33DD5" w14:textId="77777777" w:rsidR="004D6CCB" w:rsidRDefault="004D6CCB" w:rsidP="003D0B5A">
      <w:pPr>
        <w:rPr>
          <w:sz w:val="20"/>
        </w:rPr>
      </w:pPr>
    </w:p>
    <w:p w14:paraId="5197CF59" w14:textId="77777777"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14:paraId="47FA614C" w14:textId="77777777"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4772"/>
        <w:gridCol w:w="1140"/>
        <w:gridCol w:w="1385"/>
        <w:gridCol w:w="1385"/>
        <w:gridCol w:w="1385"/>
      </w:tblGrid>
      <w:tr w:rsidR="00923E02" w:rsidRPr="00E34483" w14:paraId="55DA549E" w14:textId="77777777" w:rsidTr="00B61E01">
        <w:trPr>
          <w:cantSplit/>
          <w:trHeight w:val="495"/>
          <w:jc w:val="center"/>
        </w:trPr>
        <w:tc>
          <w:tcPr>
            <w:tcW w:w="319" w:type="pct"/>
            <w:shd w:val="clear" w:color="auto" w:fill="F7CAAC"/>
            <w:noWrap/>
            <w:vAlign w:val="center"/>
          </w:tcPr>
          <w:p w14:paraId="636D0192" w14:textId="77777777" w:rsidR="00923E02" w:rsidRPr="001F51A8" w:rsidRDefault="00923E02" w:rsidP="00B61E01">
            <w:pPr>
              <w:jc w:val="center"/>
              <w:rPr>
                <w:rFonts w:ascii="Calibri Light" w:hAnsi="Calibri Light" w:cs="Arial"/>
                <w:b/>
                <w:bCs/>
                <w:sz w:val="18"/>
              </w:rPr>
            </w:pPr>
            <w:r w:rsidRPr="001F51A8">
              <w:rPr>
                <w:rFonts w:ascii="Calibri Light" w:hAnsi="Calibri Light" w:cs="Arial"/>
                <w:b/>
                <w:bCs/>
                <w:sz w:val="18"/>
              </w:rPr>
              <w:t>ITEM</w:t>
            </w:r>
          </w:p>
        </w:tc>
        <w:tc>
          <w:tcPr>
            <w:tcW w:w="2219" w:type="pct"/>
            <w:shd w:val="clear" w:color="auto" w:fill="F7CAAC"/>
            <w:noWrap/>
            <w:vAlign w:val="center"/>
          </w:tcPr>
          <w:p w14:paraId="67E223A4" w14:textId="77777777" w:rsidR="00923E02" w:rsidRPr="001F51A8" w:rsidRDefault="00923E02" w:rsidP="00B61E01">
            <w:pPr>
              <w:jc w:val="center"/>
              <w:rPr>
                <w:rFonts w:ascii="Calibri Light" w:hAnsi="Calibri Light" w:cs="Arial"/>
                <w:b/>
                <w:bCs/>
                <w:sz w:val="18"/>
              </w:rPr>
            </w:pPr>
            <w:r w:rsidRPr="001F51A8">
              <w:rPr>
                <w:rFonts w:ascii="Calibri Light" w:hAnsi="Calibri Light" w:cs="Arial"/>
                <w:b/>
                <w:bCs/>
                <w:sz w:val="18"/>
              </w:rPr>
              <w:t>DESCRICAO</w:t>
            </w:r>
          </w:p>
        </w:tc>
        <w:tc>
          <w:tcPr>
            <w:tcW w:w="530" w:type="pct"/>
            <w:shd w:val="clear" w:color="auto" w:fill="F7CAAC"/>
            <w:vAlign w:val="center"/>
          </w:tcPr>
          <w:p w14:paraId="697E301B" w14:textId="77777777" w:rsidR="00923E02" w:rsidRPr="001F51A8" w:rsidRDefault="00923E02" w:rsidP="00B61E01">
            <w:pPr>
              <w:jc w:val="center"/>
              <w:rPr>
                <w:rFonts w:ascii="Calibri Light" w:hAnsi="Calibri Light" w:cs="Arial"/>
                <w:b/>
                <w:bCs/>
                <w:sz w:val="18"/>
              </w:rPr>
            </w:pPr>
            <w:r w:rsidRPr="001F51A8">
              <w:rPr>
                <w:rFonts w:ascii="Calibri Light" w:hAnsi="Calibri Light" w:cs="Arial"/>
                <w:b/>
                <w:bCs/>
                <w:sz w:val="18"/>
              </w:rPr>
              <w:t>UNIDADE</w:t>
            </w:r>
          </w:p>
        </w:tc>
        <w:tc>
          <w:tcPr>
            <w:tcW w:w="644" w:type="pct"/>
            <w:shd w:val="clear" w:color="auto" w:fill="F7CAAC"/>
            <w:vAlign w:val="center"/>
          </w:tcPr>
          <w:p w14:paraId="29085A5F" w14:textId="77777777" w:rsidR="00923E02" w:rsidRPr="001F51A8" w:rsidRDefault="00923E02" w:rsidP="00B61E01">
            <w:pPr>
              <w:jc w:val="center"/>
              <w:rPr>
                <w:rFonts w:ascii="Calibri Light" w:hAnsi="Calibri Light" w:cs="Arial"/>
                <w:b/>
                <w:bCs/>
                <w:sz w:val="18"/>
              </w:rPr>
            </w:pPr>
            <w:r w:rsidRPr="001F51A8">
              <w:rPr>
                <w:rFonts w:ascii="Calibri Light" w:hAnsi="Calibri Light" w:cs="Arial"/>
                <w:b/>
                <w:bCs/>
                <w:sz w:val="18"/>
              </w:rPr>
              <w:t>QTD MÍNIMA</w:t>
            </w:r>
          </w:p>
        </w:tc>
        <w:tc>
          <w:tcPr>
            <w:tcW w:w="644" w:type="pct"/>
            <w:shd w:val="clear" w:color="auto" w:fill="F7CAAC"/>
            <w:vAlign w:val="center"/>
          </w:tcPr>
          <w:p w14:paraId="407FAAD4" w14:textId="77777777" w:rsidR="00923E02" w:rsidRPr="001F51A8" w:rsidRDefault="00923E02" w:rsidP="00B61E01">
            <w:pPr>
              <w:jc w:val="center"/>
              <w:rPr>
                <w:rFonts w:ascii="Calibri Light" w:hAnsi="Calibri Light" w:cs="Arial"/>
                <w:b/>
                <w:bCs/>
                <w:sz w:val="18"/>
              </w:rPr>
            </w:pPr>
            <w:r w:rsidRPr="001F51A8">
              <w:rPr>
                <w:rFonts w:ascii="Calibri Light" w:hAnsi="Calibri Light" w:cs="Arial"/>
                <w:b/>
                <w:bCs/>
                <w:sz w:val="18"/>
              </w:rPr>
              <w:t>QTD MÁXIMA</w:t>
            </w:r>
          </w:p>
        </w:tc>
        <w:tc>
          <w:tcPr>
            <w:tcW w:w="644" w:type="pct"/>
            <w:shd w:val="clear" w:color="auto" w:fill="F7CAAC"/>
            <w:vAlign w:val="center"/>
          </w:tcPr>
          <w:p w14:paraId="7CC96951" w14:textId="77777777" w:rsidR="00923E02" w:rsidRPr="001F51A8" w:rsidRDefault="00923E02" w:rsidP="00B61E01">
            <w:pPr>
              <w:jc w:val="center"/>
              <w:rPr>
                <w:rFonts w:ascii="Calibri Light" w:hAnsi="Calibri Light" w:cs="Arial"/>
                <w:b/>
                <w:bCs/>
                <w:sz w:val="18"/>
              </w:rPr>
            </w:pPr>
            <w:r w:rsidRPr="001F51A8">
              <w:rPr>
                <w:rFonts w:ascii="Calibri Light" w:hAnsi="Calibri Light" w:cs="Arial"/>
                <w:b/>
                <w:bCs/>
                <w:sz w:val="18"/>
              </w:rPr>
              <w:t>E-FISCO</w:t>
            </w:r>
          </w:p>
        </w:tc>
      </w:tr>
      <w:tr w:rsidR="00923E02" w:rsidRPr="00E34483" w14:paraId="4E816164" w14:textId="77777777" w:rsidTr="00B61E01">
        <w:trPr>
          <w:cantSplit/>
          <w:trHeight w:val="1695"/>
          <w:jc w:val="center"/>
        </w:trPr>
        <w:tc>
          <w:tcPr>
            <w:tcW w:w="319" w:type="pct"/>
            <w:shd w:val="clear" w:color="auto" w:fill="auto"/>
            <w:noWrap/>
            <w:vAlign w:val="center"/>
          </w:tcPr>
          <w:p w14:paraId="33ED058B" w14:textId="77777777" w:rsidR="00923E02" w:rsidRPr="00E34483" w:rsidRDefault="00923E02" w:rsidP="00B61E01">
            <w:pPr>
              <w:jc w:val="center"/>
              <w:rPr>
                <w:rFonts w:cs="Arial"/>
              </w:rPr>
            </w:pPr>
            <w:r w:rsidRPr="00E34483">
              <w:rPr>
                <w:rFonts w:eastAsia="Arial" w:cs="Arial"/>
              </w:rPr>
              <w:t>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26FA7EAA" w14:textId="77777777" w:rsidR="00923E02" w:rsidRPr="00E34483" w:rsidRDefault="00923E02" w:rsidP="00B61E01">
            <w:pPr>
              <w:jc w:val="center"/>
              <w:rPr>
                <w:rFonts w:cs="Arial"/>
                <w:color w:val="000000"/>
              </w:rPr>
            </w:pPr>
          </w:p>
          <w:p w14:paraId="72D9F913" w14:textId="77777777" w:rsidR="00923E02" w:rsidRPr="00E34483" w:rsidRDefault="00923E02" w:rsidP="00B61E01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Estante em e</w:t>
            </w:r>
            <w:r w:rsidRPr="00E34483">
              <w:rPr>
                <w:rFonts w:cs="Arial"/>
                <w:color w:val="000000"/>
              </w:rPr>
              <w:t>strutura de aço autoportante, desmontável, confeccionada em chapa de aço galvanizado 14</w:t>
            </w:r>
            <w:r>
              <w:rPr>
                <w:rFonts w:cs="Arial"/>
                <w:color w:val="000000"/>
              </w:rPr>
              <w:t>USG</w:t>
            </w:r>
            <w:r w:rsidRPr="00E34483">
              <w:rPr>
                <w:rFonts w:cs="Arial"/>
                <w:color w:val="000000"/>
              </w:rPr>
              <w:t>, com</w:t>
            </w:r>
            <w:r>
              <w:rPr>
                <w:rFonts w:cs="Arial"/>
                <w:color w:val="000000"/>
              </w:rPr>
              <w:t xml:space="preserve"> 4</w:t>
            </w:r>
            <w:r w:rsidRPr="00E3448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pés</w:t>
            </w:r>
            <w:r w:rsidRPr="00E34483">
              <w:rPr>
                <w:rFonts w:cs="Arial"/>
                <w:color w:val="000000"/>
              </w:rPr>
              <w:t xml:space="preserve"> nivelador</w:t>
            </w:r>
            <w:r>
              <w:rPr>
                <w:rFonts w:cs="Arial"/>
                <w:color w:val="000000"/>
              </w:rPr>
              <w:t>e</w:t>
            </w:r>
            <w:r w:rsidRPr="00E34483">
              <w:rPr>
                <w:rFonts w:cs="Arial"/>
                <w:color w:val="000000"/>
              </w:rPr>
              <w:t>s para regulagem ao piso</w:t>
            </w:r>
            <w:r>
              <w:rPr>
                <w:rFonts w:cs="Arial"/>
                <w:color w:val="000000"/>
              </w:rPr>
              <w:t>, com 6</w:t>
            </w:r>
            <w:r w:rsidRPr="00E34483">
              <w:rPr>
                <w:rFonts w:cs="Arial"/>
                <w:color w:val="000000"/>
              </w:rPr>
              <w:t xml:space="preserve"> prateleiras reguláveis (em chapa </w:t>
            </w:r>
            <w:r>
              <w:rPr>
                <w:rFonts w:cs="Arial"/>
                <w:color w:val="000000"/>
              </w:rPr>
              <w:t xml:space="preserve">de 16USG ou </w:t>
            </w:r>
            <w:r w:rsidRPr="00E34483">
              <w:rPr>
                <w:rFonts w:cs="Arial"/>
                <w:color w:val="000000"/>
              </w:rPr>
              <w:t>18</w:t>
            </w:r>
            <w:r>
              <w:rPr>
                <w:rFonts w:cs="Arial"/>
                <w:color w:val="000000"/>
              </w:rPr>
              <w:t>USG</w:t>
            </w:r>
            <w:r w:rsidRPr="00E34483">
              <w:rPr>
                <w:rFonts w:cs="Arial"/>
                <w:color w:val="000000"/>
              </w:rPr>
              <w:t>), cantos dobrados</w:t>
            </w:r>
            <w:r>
              <w:rPr>
                <w:rFonts w:cs="Arial"/>
                <w:color w:val="000000"/>
              </w:rPr>
              <w:t>.</w:t>
            </w:r>
            <w:r w:rsidRPr="00E3448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Dimensões</w:t>
            </w:r>
            <w:r w:rsidRPr="00E34483">
              <w:rPr>
                <w:rFonts w:cs="Arial"/>
                <w:color w:val="000000"/>
              </w:rPr>
              <w:t xml:space="preserve">: altura (incluindo a base): De 1.980mm à 2.100mm; Largura: De </w:t>
            </w:r>
            <w:r>
              <w:rPr>
                <w:rFonts w:cs="Arial"/>
                <w:color w:val="000000"/>
              </w:rPr>
              <w:t>920</w:t>
            </w:r>
            <w:r w:rsidRPr="00E34483">
              <w:rPr>
                <w:rFonts w:cs="Arial"/>
                <w:color w:val="000000"/>
              </w:rPr>
              <w:t xml:space="preserve">mm à 1.200mm e Profundidade: De 500 </w:t>
            </w:r>
            <w:r>
              <w:rPr>
                <w:rFonts w:cs="Arial"/>
                <w:color w:val="000000"/>
              </w:rPr>
              <w:t>à 600mm. Pintura eletrostática a</w:t>
            </w:r>
            <w:r w:rsidRPr="00E34483">
              <w:rPr>
                <w:rFonts w:cs="Arial"/>
                <w:color w:val="000000"/>
              </w:rPr>
              <w:t xml:space="preserve"> pó (epóxi poliéster) na cor cinza claro, aplicada mediante processo por </w:t>
            </w:r>
            <w:proofErr w:type="spellStart"/>
            <w:r w:rsidRPr="00E34483">
              <w:rPr>
                <w:rFonts w:cs="Arial"/>
                <w:color w:val="000000"/>
              </w:rPr>
              <w:t>fosfatização</w:t>
            </w:r>
            <w:proofErr w:type="spellEnd"/>
            <w:r w:rsidRPr="00E34483">
              <w:rPr>
                <w:rFonts w:cs="Arial"/>
                <w:color w:val="000000"/>
              </w:rPr>
              <w:t xml:space="preserve"> por imersão. Estrutura em cantoneira perfurada. Prateleiras com capacid</w:t>
            </w:r>
            <w:r>
              <w:rPr>
                <w:rFonts w:cs="Arial"/>
                <w:color w:val="000000"/>
              </w:rPr>
              <w:t>ade de carga de no mínimo 100kg</w:t>
            </w:r>
            <w:r w:rsidRPr="00E34483">
              <w:rPr>
                <w:rFonts w:cs="Arial"/>
                <w:color w:val="000000"/>
              </w:rPr>
              <w:t xml:space="preserve"> uniformemente distribuídos, com regulagem de altura do vão</w:t>
            </w:r>
            <w:r>
              <w:rPr>
                <w:rFonts w:cs="Arial"/>
                <w:color w:val="000000"/>
              </w:rPr>
              <w:t xml:space="preserve"> e r</w:t>
            </w:r>
            <w:r w:rsidRPr="00E34483">
              <w:rPr>
                <w:rFonts w:cs="Arial"/>
                <w:color w:val="000000"/>
              </w:rPr>
              <w:t xml:space="preserve">eforço ômega na parte interna. </w:t>
            </w:r>
          </w:p>
          <w:p w14:paraId="2F354C62" w14:textId="77777777" w:rsidR="00923E02" w:rsidRPr="00E34483" w:rsidRDefault="00923E02" w:rsidP="00B61E01">
            <w:pPr>
              <w:jc w:val="both"/>
              <w:rPr>
                <w:rFonts w:cs="Arial"/>
                <w:color w:val="000000"/>
              </w:rPr>
            </w:pPr>
          </w:p>
          <w:p w14:paraId="2AC01675" w14:textId="77777777" w:rsidR="00923E02" w:rsidRPr="00E34483" w:rsidRDefault="00923E02" w:rsidP="00B61E01">
            <w:pPr>
              <w:rPr>
                <w:rFonts w:cs="Arial"/>
                <w:b/>
                <w:u w:val="single"/>
              </w:rPr>
            </w:pPr>
            <w:r w:rsidRPr="00E34483">
              <w:rPr>
                <w:rFonts w:cs="Arial"/>
                <w:b/>
                <w:u w:val="single"/>
              </w:rPr>
              <w:t>Garantia de 05 anos</w:t>
            </w:r>
          </w:p>
          <w:p w14:paraId="262A4B97" w14:textId="77777777" w:rsidR="00923E02" w:rsidRPr="00E34483" w:rsidRDefault="00923E02" w:rsidP="00B61E01">
            <w:pPr>
              <w:rPr>
                <w:rFonts w:cs="Arial"/>
                <w:color w:val="000000"/>
              </w:rPr>
            </w:pPr>
          </w:p>
        </w:tc>
        <w:tc>
          <w:tcPr>
            <w:tcW w:w="530" w:type="pct"/>
            <w:vAlign w:val="center"/>
          </w:tcPr>
          <w:p w14:paraId="3FA2A577" w14:textId="77777777" w:rsidR="00923E02" w:rsidRPr="00E34483" w:rsidRDefault="00923E02" w:rsidP="00B61E01">
            <w:pPr>
              <w:jc w:val="center"/>
              <w:rPr>
                <w:rFonts w:cs="Arial"/>
              </w:rPr>
            </w:pPr>
            <w:r w:rsidRPr="00E34483">
              <w:rPr>
                <w:rFonts w:cs="Arial"/>
                <w:color w:val="000000"/>
              </w:rPr>
              <w:t>UND</w:t>
            </w:r>
          </w:p>
        </w:tc>
        <w:tc>
          <w:tcPr>
            <w:tcW w:w="644" w:type="pct"/>
            <w:vAlign w:val="center"/>
          </w:tcPr>
          <w:p w14:paraId="5DB29641" w14:textId="4B0C2B54" w:rsidR="00923E02" w:rsidRDefault="00616E8B" w:rsidP="00B61E0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  <w:bookmarkStart w:id="8" w:name="_GoBack"/>
            <w:bookmarkEnd w:id="8"/>
          </w:p>
        </w:tc>
        <w:tc>
          <w:tcPr>
            <w:tcW w:w="644" w:type="pct"/>
            <w:vAlign w:val="center"/>
          </w:tcPr>
          <w:p w14:paraId="273B1528" w14:textId="77777777" w:rsidR="00923E02" w:rsidRPr="00E34483" w:rsidRDefault="00923E02" w:rsidP="00B61E0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180</w:t>
            </w:r>
          </w:p>
        </w:tc>
        <w:tc>
          <w:tcPr>
            <w:tcW w:w="644" w:type="pct"/>
            <w:vAlign w:val="center"/>
          </w:tcPr>
          <w:p w14:paraId="20A75555" w14:textId="77777777" w:rsidR="00923E02" w:rsidRPr="00E34483" w:rsidRDefault="00923E02" w:rsidP="00B61E0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486364-0</w:t>
            </w:r>
          </w:p>
        </w:tc>
      </w:tr>
    </w:tbl>
    <w:p w14:paraId="19BCA605" w14:textId="77777777" w:rsidR="00EE2393" w:rsidRDefault="00EE2393" w:rsidP="003D0B5A">
      <w:pPr>
        <w:rPr>
          <w:sz w:val="20"/>
        </w:rPr>
      </w:pPr>
    </w:p>
    <w:p w14:paraId="7539DE83" w14:textId="77777777" w:rsidR="006648A4" w:rsidRDefault="006648A4" w:rsidP="003D0B5A">
      <w:pPr>
        <w:rPr>
          <w:sz w:val="20"/>
        </w:rPr>
        <w:sectPr w:rsidR="006648A4" w:rsidSect="00923E02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14:paraId="5877C3E9" w14:textId="77777777"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Procedimento para Gestão e Fiscalização do Contrato</w:t>
      </w:r>
    </w:p>
    <w:p w14:paraId="05A3B15E" w14:textId="77777777"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14:paraId="42E8F54F" w14:textId="77777777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D80FF4" w14:textId="77777777" w:rsidR="002C4515" w:rsidRDefault="002C4515" w:rsidP="00841E92">
            <w:pPr>
              <w:rPr>
                <w:sz w:val="20"/>
              </w:rPr>
            </w:pPr>
          </w:p>
        </w:tc>
      </w:tr>
      <w:tr w:rsidR="002C4515" w14:paraId="61E83F15" w14:textId="77777777" w:rsidTr="00841E92">
        <w:trPr>
          <w:trHeight w:val="255"/>
        </w:trPr>
        <w:tc>
          <w:tcPr>
            <w:tcW w:w="10752" w:type="dxa"/>
          </w:tcPr>
          <w:p w14:paraId="7E17A04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14:paraId="6B6DAA8C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specificação do objeto;</w:t>
            </w:r>
          </w:p>
          <w:p w14:paraId="6934B15F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razo de execução do serviço, observada a primeira Ordem de Serviço emitida pela Diretoria de Informática;</w:t>
            </w:r>
          </w:p>
          <w:p w14:paraId="258574BC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14:paraId="0BDC275E" w14:textId="77777777" w:rsidR="002C4515" w:rsidRPr="002C4515" w:rsidRDefault="00256D2A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ronograma dos serviços.</w:t>
            </w:r>
          </w:p>
          <w:p w14:paraId="17DEF72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14:paraId="5FBD2B66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14:paraId="7736CEC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14:paraId="0CA7A99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14:paraId="17230005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14:paraId="34C48FB1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14:paraId="73C944E7" w14:textId="77777777" w:rsidR="002C4515" w:rsidRPr="002C4515" w:rsidRDefault="00A17B9C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14:paraId="0B653653" w14:textId="77777777" w:rsidR="002C4515" w:rsidRPr="00D23B9F" w:rsidRDefault="00A17B9C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4515"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14:paraId="44E1D0E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14:paraId="261874C8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14:paraId="1344D2F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14:paraId="525EB51C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14:paraId="1656C96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14:paraId="1A79C3F9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14:paraId="4C5FE07A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14:paraId="15338AEE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14:paraId="7565816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14:paraId="52236946" w14:textId="77777777"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14:paraId="338A7647" w14:textId="77777777" w:rsidR="002C4515" w:rsidRDefault="002C4515" w:rsidP="00841E92">
            <w:pPr>
              <w:rPr>
                <w:sz w:val="20"/>
              </w:rPr>
            </w:pPr>
          </w:p>
        </w:tc>
      </w:tr>
    </w:tbl>
    <w:p w14:paraId="25C8F8CC" w14:textId="77777777" w:rsidR="006648A4" w:rsidRDefault="006648A4" w:rsidP="003D0B5A">
      <w:pPr>
        <w:rPr>
          <w:sz w:val="20"/>
        </w:rPr>
      </w:pPr>
    </w:p>
    <w:p w14:paraId="29FD80BA" w14:textId="77777777" w:rsidR="00F90BFB" w:rsidRDefault="00F90BFB" w:rsidP="003D0B5A">
      <w:pPr>
        <w:rPr>
          <w:sz w:val="20"/>
        </w:rPr>
      </w:pPr>
    </w:p>
    <w:p w14:paraId="7D403882" w14:textId="77777777" w:rsidR="00F90BFB" w:rsidRDefault="00F90BFB" w:rsidP="003D0B5A">
      <w:pPr>
        <w:rPr>
          <w:sz w:val="20"/>
        </w:rPr>
      </w:pPr>
    </w:p>
    <w:p w14:paraId="23C4C45F" w14:textId="77777777" w:rsidR="00F90BFB" w:rsidRDefault="00F90BFB" w:rsidP="003D0B5A">
      <w:pPr>
        <w:rPr>
          <w:sz w:val="20"/>
        </w:rPr>
      </w:pPr>
    </w:p>
    <w:p w14:paraId="4EAE2EC7" w14:textId="77777777" w:rsidR="00F90BFB" w:rsidRDefault="00F90BFB" w:rsidP="003D0B5A">
      <w:pPr>
        <w:rPr>
          <w:sz w:val="20"/>
        </w:rPr>
      </w:pPr>
    </w:p>
    <w:p w14:paraId="0B455FF6" w14:textId="77777777" w:rsidR="00F90BFB" w:rsidRDefault="00F90BFB" w:rsidP="003D0B5A">
      <w:pPr>
        <w:rPr>
          <w:sz w:val="20"/>
        </w:rPr>
      </w:pPr>
    </w:p>
    <w:p w14:paraId="7F7F27C5" w14:textId="77777777" w:rsidR="00F90BFB" w:rsidRDefault="00F90BFB" w:rsidP="003D0B5A">
      <w:pPr>
        <w:rPr>
          <w:sz w:val="20"/>
        </w:rPr>
      </w:pPr>
    </w:p>
    <w:p w14:paraId="4C25B4BD" w14:textId="77777777"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14:paraId="47A57916" w14:textId="77777777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D93A062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37CB4C2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22F3231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14:paraId="799DBB9A" w14:textId="77777777" w:rsidTr="007B5E21">
        <w:trPr>
          <w:trHeight w:hRule="exact" w:val="255"/>
        </w:trPr>
        <w:tc>
          <w:tcPr>
            <w:tcW w:w="3544" w:type="dxa"/>
            <w:vMerge w:val="restart"/>
          </w:tcPr>
          <w:p w14:paraId="3223216D" w14:textId="77777777"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14:paraId="08C623AC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3453457E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14:paraId="0F42F701" w14:textId="77777777" w:rsidTr="007B5E21">
        <w:trPr>
          <w:trHeight w:hRule="exact" w:val="255"/>
        </w:trPr>
        <w:tc>
          <w:tcPr>
            <w:tcW w:w="3544" w:type="dxa"/>
            <w:vMerge/>
          </w:tcPr>
          <w:p w14:paraId="3332F211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447D380A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12DBA483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14:paraId="1536E736" w14:textId="77777777" w:rsidTr="00841E92">
        <w:trPr>
          <w:trHeight w:val="500"/>
        </w:trPr>
        <w:tc>
          <w:tcPr>
            <w:tcW w:w="3544" w:type="dxa"/>
            <w:vMerge/>
          </w:tcPr>
          <w:p w14:paraId="170AAACC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0F4707E3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330656A6" w14:textId="77777777"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14:paraId="45308662" w14:textId="77777777" w:rsidTr="00841E92">
        <w:trPr>
          <w:trHeight w:val="755"/>
        </w:trPr>
        <w:tc>
          <w:tcPr>
            <w:tcW w:w="3544" w:type="dxa"/>
            <w:vMerge/>
          </w:tcPr>
          <w:p w14:paraId="7650D257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15A237A3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0B3D2E93" w14:textId="77777777"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14:paraId="71A0344A" w14:textId="77777777" w:rsidR="006648A4" w:rsidRDefault="006648A4" w:rsidP="003D0B5A">
      <w:pPr>
        <w:rPr>
          <w:sz w:val="20"/>
        </w:rPr>
      </w:pPr>
    </w:p>
    <w:p w14:paraId="2A030128" w14:textId="77777777"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984"/>
        <w:gridCol w:w="2126"/>
      </w:tblGrid>
      <w:tr w:rsidR="00C605DB" w:rsidRPr="002C4515" w14:paraId="1E1E50E9" w14:textId="77777777" w:rsidTr="00A5283E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0502230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D3C704B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2ACB375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66D4A8C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9D1BBCC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14:paraId="3E11C547" w14:textId="77777777" w:rsidTr="00A5283E">
        <w:trPr>
          <w:trHeight w:hRule="exact" w:val="255"/>
        </w:trPr>
        <w:tc>
          <w:tcPr>
            <w:tcW w:w="2694" w:type="dxa"/>
          </w:tcPr>
          <w:p w14:paraId="0C12BF48" w14:textId="77777777" w:rsidR="00D31745" w:rsidRDefault="00D31745" w:rsidP="00D3174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4640EF51" w14:textId="77777777" w:rsidR="00D31745" w:rsidRDefault="00D31745" w:rsidP="00D31745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4429DF2D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156398A4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8E39682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14:paraId="4ACA1CA5" w14:textId="77777777" w:rsidR="00D31745" w:rsidRDefault="00D31745" w:rsidP="003D0B5A">
      <w:pPr>
        <w:rPr>
          <w:sz w:val="20"/>
        </w:rPr>
      </w:pPr>
    </w:p>
    <w:p w14:paraId="46B9B657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14:paraId="5D94FD9F" w14:textId="77777777"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14:paraId="73F9587C" w14:textId="77777777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7D2AAAF" w14:textId="77777777"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EAC0F6" w14:textId="1217DB38" w:rsidR="006314E0" w:rsidRPr="0083669C" w:rsidRDefault="00923E02" w:rsidP="00841E92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Pagamento mediante apresentação de nota fiscal, a cada pedido realizado</w:t>
            </w:r>
          </w:p>
        </w:tc>
      </w:tr>
    </w:tbl>
    <w:p w14:paraId="3FC472F3" w14:textId="77777777" w:rsidR="00717D81" w:rsidRDefault="00717D81" w:rsidP="003D0B5A">
      <w:pPr>
        <w:rPr>
          <w:sz w:val="20"/>
        </w:rPr>
      </w:pPr>
    </w:p>
    <w:p w14:paraId="6E7AAF50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761ED53E" w14:textId="77777777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A48480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97C06D5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7B0B799" w14:textId="77777777" w:rsidTr="00717D81">
        <w:trPr>
          <w:trHeight w:val="805"/>
        </w:trPr>
        <w:tc>
          <w:tcPr>
            <w:tcW w:w="5533" w:type="dxa"/>
          </w:tcPr>
          <w:p w14:paraId="17E7B0C0" w14:textId="77777777" w:rsidR="006314E0" w:rsidRDefault="00B73A77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  <w:p w14:paraId="2E7467BB" w14:textId="77777777"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14:paraId="42BC2A54" w14:textId="77777777" w:rsidR="006314E0" w:rsidRPr="002C4515" w:rsidRDefault="00B73A77" w:rsidP="006314E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8.666/93)</w:t>
            </w:r>
          </w:p>
        </w:tc>
      </w:tr>
    </w:tbl>
    <w:p w14:paraId="618055AD" w14:textId="77777777" w:rsidR="006648A4" w:rsidRDefault="006648A4" w:rsidP="003D0B5A">
      <w:pPr>
        <w:rPr>
          <w:sz w:val="20"/>
        </w:rPr>
      </w:pPr>
    </w:p>
    <w:p w14:paraId="1363B9AC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1FBC32C7" w14:textId="77777777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3D6BD91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0336BD3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4DFDDDB4" w14:textId="77777777" w:rsidTr="005B2EC2">
        <w:trPr>
          <w:trHeight w:val="819"/>
        </w:trPr>
        <w:tc>
          <w:tcPr>
            <w:tcW w:w="5533" w:type="dxa"/>
          </w:tcPr>
          <w:p w14:paraId="11F4CDD1" w14:textId="77777777"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14:paraId="77889660" w14:textId="77777777"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1F2F33E9" w14:textId="77777777"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81"/>
      </w:tblGrid>
      <w:tr w:rsidR="00923E02" w:rsidRPr="005E194D" w14:paraId="56632A9F" w14:textId="77777777" w:rsidTr="00B61E0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331CAAAD" w14:textId="77777777" w:rsidR="00923E02" w:rsidRPr="005E194D" w:rsidRDefault="00923E02" w:rsidP="00B61E0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Técnico/Requisitante</w:t>
            </w:r>
          </w:p>
        </w:tc>
        <w:tc>
          <w:tcPr>
            <w:tcW w:w="2581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6DCC6C49" w14:textId="77777777" w:rsidR="00923E02" w:rsidRPr="005E194D" w:rsidRDefault="00923E02" w:rsidP="00B61E0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923E02" w:rsidRPr="009E56C9" w14:paraId="1B76476E" w14:textId="77777777" w:rsidTr="00B61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670A93" w14:textId="77777777" w:rsidR="00923E02" w:rsidRPr="00767689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0D8A0F" w14:textId="77777777" w:rsidR="00923E02" w:rsidRPr="009E56C9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23E02" w:rsidRPr="009E56C9" w14:paraId="2A16F4E5" w14:textId="77777777" w:rsidTr="00B61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39F029B" w14:textId="77777777" w:rsidR="00923E02" w:rsidRPr="009E56C9" w:rsidRDefault="00923E02" w:rsidP="00B61E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33BE44" w14:textId="77777777" w:rsidR="00923E02" w:rsidRPr="009E56C9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23E02" w:rsidRPr="009E56C9" w14:paraId="72EFE935" w14:textId="77777777" w:rsidTr="00B61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BDC5E3" w14:textId="77777777" w:rsidR="00923E02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CLÁUDIA ARAÚJO </w:t>
            </w:r>
          </w:p>
          <w:p w14:paraId="045D875C" w14:textId="77777777" w:rsidR="00923E02" w:rsidRPr="009E56C9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178575-3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1E8B7F" w14:textId="77777777" w:rsidR="00923E02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S. B de Souza</w:t>
            </w:r>
          </w:p>
          <w:p w14:paraId="15DA4E06" w14:textId="77777777" w:rsidR="00923E02" w:rsidRPr="009E56C9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923E02" w:rsidRPr="009E56C9" w14:paraId="53ED3884" w14:textId="77777777" w:rsidTr="00B61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D29CD2" w14:textId="77777777" w:rsidR="00923E02" w:rsidRPr="009E56C9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D72D2F" w14:textId="77777777" w:rsidR="00923E02" w:rsidRPr="009E56C9" w:rsidRDefault="00923E02" w:rsidP="00B61E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23E02" w:rsidRPr="005E194D" w14:paraId="2198237A" w14:textId="77777777" w:rsidTr="00B61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E14FE" w14:textId="77777777" w:rsidR="00923E02" w:rsidRPr="005E194D" w:rsidRDefault="00923E02" w:rsidP="00B61E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13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outubro de 2017</w:t>
            </w:r>
          </w:p>
        </w:tc>
      </w:tr>
    </w:tbl>
    <w:p w14:paraId="0567B36D" w14:textId="77777777" w:rsidR="00E25A46" w:rsidRDefault="00E25A46" w:rsidP="00923E02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  <w:rPr>
          <w:sz w:val="20"/>
        </w:rPr>
      </w:pPr>
    </w:p>
    <w:sectPr w:rsidR="00E25A46" w:rsidSect="003D0B5A">
      <w:headerReference w:type="default" r:id="rId12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86DD" w14:textId="77777777" w:rsidR="0011422F" w:rsidRDefault="0011422F" w:rsidP="00E93265">
      <w:pPr>
        <w:spacing w:after="0" w:line="240" w:lineRule="auto"/>
      </w:pPr>
      <w:r>
        <w:separator/>
      </w:r>
    </w:p>
  </w:endnote>
  <w:endnote w:type="continuationSeparator" w:id="0">
    <w:p w14:paraId="3CF67A4D" w14:textId="77777777" w:rsidR="0011422F" w:rsidRDefault="0011422F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25C2" w14:textId="77777777" w:rsidR="0011422F" w:rsidRDefault="0011422F" w:rsidP="00C070B9">
    <w:pPr>
      <w:pStyle w:val="Rodap"/>
      <w:pBdr>
        <w:bottom w:val="single" w:sz="6" w:space="1" w:color="auto"/>
      </w:pBdr>
      <w:ind w:left="-142"/>
    </w:pPr>
  </w:p>
  <w:p w14:paraId="4D75469D" w14:textId="77777777" w:rsidR="0011422F" w:rsidRDefault="0011422F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Março/2016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5D749C">
      <w:rPr>
        <w:noProof/>
        <w:sz w:val="16"/>
        <w:szCs w:val="16"/>
      </w:rPr>
      <w:t>6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5D749C" w:rsidRPr="005D749C">
        <w:rPr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FC7C" w14:textId="77777777" w:rsidR="0011422F" w:rsidRDefault="0011422F" w:rsidP="00E93265">
      <w:pPr>
        <w:spacing w:after="0" w:line="240" w:lineRule="auto"/>
      </w:pPr>
      <w:r>
        <w:separator/>
      </w:r>
    </w:p>
  </w:footnote>
  <w:footnote w:type="continuationSeparator" w:id="0">
    <w:p w14:paraId="4AF2F198" w14:textId="77777777" w:rsidR="0011422F" w:rsidRDefault="0011422F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1422F" w:rsidRPr="009E56C9" w14:paraId="0C1B5C55" w14:textId="77777777" w:rsidTr="00C569E2">
      <w:trPr>
        <w:trHeight w:val="851"/>
      </w:trPr>
      <w:tc>
        <w:tcPr>
          <w:tcW w:w="10915" w:type="dxa"/>
        </w:tcPr>
        <w:p w14:paraId="5D70B373" w14:textId="77777777" w:rsidR="0011422F" w:rsidRPr="009E56C9" w:rsidRDefault="0011422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57209BE" wp14:editId="62ECAABE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2678B" w14:textId="77777777" w:rsidR="0011422F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CC1F3B2" wp14:editId="07AEB0BC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3B37AF" w14:textId="77777777" w:rsidR="0011422F" w:rsidRPr="000B6E74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19D3F58A" w14:textId="77777777" w:rsidR="0011422F" w:rsidRDefault="0011422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7209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lfNQIAADk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" stroked="f">
                    <v:textbox>
                      <w:txbxContent>
                        <w:p w14:paraId="64B2678B" w14:textId="77777777" w:rsidR="0011422F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CC1F3B2" wp14:editId="07AEB0BC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3B37AF" w14:textId="77777777" w:rsidR="0011422F" w:rsidRPr="000B6E74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19D3F58A" w14:textId="77777777" w:rsidR="0011422F" w:rsidRDefault="0011422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7A12528" w14:textId="77777777" w:rsidR="0011422F" w:rsidRPr="00E445CF" w:rsidRDefault="0011422F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C5F2A5E" wp14:editId="59E92ED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CCC66" w14:textId="77777777" w:rsidR="0011422F" w:rsidRPr="00E93265" w:rsidRDefault="0011422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5F2A5E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r/0/E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7BBCCC66" w14:textId="77777777" w:rsidR="0011422F" w:rsidRPr="00E93265" w:rsidRDefault="0011422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B1D278" w14:textId="77777777" w:rsidR="0011422F" w:rsidRDefault="0011422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1422F" w:rsidRPr="009E56C9" w14:paraId="27F22C19" w14:textId="77777777" w:rsidTr="00C569E2">
      <w:trPr>
        <w:trHeight w:val="851"/>
      </w:trPr>
      <w:tc>
        <w:tcPr>
          <w:tcW w:w="10915" w:type="dxa"/>
        </w:tcPr>
        <w:p w14:paraId="7BF74999" w14:textId="77777777" w:rsidR="0011422F" w:rsidRPr="009E56C9" w:rsidRDefault="0011422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1B6CE03" wp14:editId="3D0A361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C4AAD" w14:textId="77777777" w:rsidR="0011422F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3BED132" wp14:editId="5A6C4E25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0F9A9F6" w14:textId="77777777" w:rsidR="0011422F" w:rsidRPr="000B6E74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44FA1769" w14:textId="77777777" w:rsidR="0011422F" w:rsidRDefault="0011422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B6CE0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Qw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" stroked="f">
                    <v:textbox>
                      <w:txbxContent>
                        <w:p w14:paraId="61EC4AAD" w14:textId="77777777" w:rsidR="0011422F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3BED132" wp14:editId="5A6C4E25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F9A9F6" w14:textId="77777777" w:rsidR="0011422F" w:rsidRPr="000B6E74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44FA1769" w14:textId="77777777" w:rsidR="0011422F" w:rsidRDefault="0011422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58CF68BE" w14:textId="77777777" w:rsidR="0011422F" w:rsidRPr="00E445CF" w:rsidRDefault="0011422F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BCAB506" wp14:editId="3A8F93C0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85A7D" w14:textId="77777777" w:rsidR="0011422F" w:rsidRPr="00E93265" w:rsidRDefault="0011422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CAB506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dMOAIAAD8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P6dM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27F85A7D" w14:textId="77777777" w:rsidR="0011422F" w:rsidRPr="00E93265" w:rsidRDefault="0011422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928437" w14:textId="77777777" w:rsidR="0011422F" w:rsidRDefault="0011422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1422F" w:rsidRPr="009E56C9" w14:paraId="1156E1AE" w14:textId="77777777" w:rsidTr="00C569E2">
      <w:trPr>
        <w:trHeight w:val="851"/>
      </w:trPr>
      <w:tc>
        <w:tcPr>
          <w:tcW w:w="10915" w:type="dxa"/>
        </w:tcPr>
        <w:p w14:paraId="51439710" w14:textId="77777777" w:rsidR="0011422F" w:rsidRPr="009E56C9" w:rsidRDefault="0011422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2139693F" wp14:editId="32875859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7AC8B" w14:textId="77777777" w:rsidR="0011422F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2E64955C" wp14:editId="63C2AE88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E031D25" w14:textId="77777777" w:rsidR="0011422F" w:rsidRPr="000B6E74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38820DAD" w14:textId="77777777" w:rsidR="0011422F" w:rsidRDefault="0011422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9693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50OAIAAEA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g/7udD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25D7AC8B" w14:textId="77777777" w:rsidR="0011422F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2E64955C" wp14:editId="63C2AE88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031D25" w14:textId="77777777" w:rsidR="0011422F" w:rsidRPr="000B6E74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38820DAD" w14:textId="77777777" w:rsidR="0011422F" w:rsidRDefault="0011422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29071FAC" w14:textId="77777777" w:rsidR="0011422F" w:rsidRPr="00E445CF" w:rsidRDefault="0011422F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0D552C98" wp14:editId="179C8A0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B1B98" w14:textId="77777777" w:rsidR="0011422F" w:rsidRPr="00E93265" w:rsidRDefault="0011422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552C98" id="_x0000_s1031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ANlJSX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4DBB1B98" w14:textId="77777777" w:rsidR="0011422F" w:rsidRPr="00E93265" w:rsidRDefault="0011422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4D1C7BAB" w14:textId="77777777" w:rsidR="0011422F" w:rsidRDefault="0011422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1422F" w:rsidRPr="009E56C9" w14:paraId="165D9CE8" w14:textId="77777777" w:rsidTr="00C569E2">
      <w:trPr>
        <w:trHeight w:val="851"/>
      </w:trPr>
      <w:tc>
        <w:tcPr>
          <w:tcW w:w="10915" w:type="dxa"/>
        </w:tcPr>
        <w:p w14:paraId="07529FC4" w14:textId="77777777" w:rsidR="0011422F" w:rsidRPr="009E56C9" w:rsidRDefault="0011422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6B67FAF8" wp14:editId="0F13E06D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74F17" w14:textId="77777777" w:rsidR="0011422F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EAE7584" wp14:editId="45DF2830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4F1EF75" w14:textId="77777777" w:rsidR="0011422F" w:rsidRPr="000B6E74" w:rsidRDefault="0011422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07C4DFE" w14:textId="77777777" w:rsidR="0011422F" w:rsidRDefault="0011422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7FAF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TmOA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Wn705j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0F874F17" w14:textId="77777777" w:rsidR="0011422F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EAE7584" wp14:editId="45DF2830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F1EF75" w14:textId="77777777" w:rsidR="0011422F" w:rsidRPr="000B6E74" w:rsidRDefault="0011422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07C4DFE" w14:textId="77777777" w:rsidR="0011422F" w:rsidRDefault="0011422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07C7C858" w14:textId="77777777" w:rsidR="0011422F" w:rsidRPr="00E445CF" w:rsidRDefault="0011422F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8957178" wp14:editId="682EC116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27D00" w14:textId="77777777" w:rsidR="0011422F" w:rsidRPr="00E93265" w:rsidRDefault="0011422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957178" id="_x0000_s1033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q4OAIAAD8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g8q4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07E27D00" w14:textId="77777777" w:rsidR="0011422F" w:rsidRPr="00E93265" w:rsidRDefault="0011422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205927F5" w14:textId="77777777" w:rsidR="0011422F" w:rsidRDefault="0011422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4"/>
  </w:num>
  <w:num w:numId="5">
    <w:abstractNumId w:val="5"/>
  </w:num>
  <w:num w:numId="6">
    <w:abstractNumId w:val="26"/>
  </w:num>
  <w:num w:numId="7">
    <w:abstractNumId w:val="13"/>
  </w:num>
  <w:num w:numId="8">
    <w:abstractNumId w:val="33"/>
  </w:num>
  <w:num w:numId="9">
    <w:abstractNumId w:val="18"/>
  </w:num>
  <w:num w:numId="10">
    <w:abstractNumId w:val="1"/>
  </w:num>
  <w:num w:numId="11">
    <w:abstractNumId w:val="3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36"/>
  </w:num>
  <w:num w:numId="17">
    <w:abstractNumId w:val="6"/>
  </w:num>
  <w:num w:numId="18">
    <w:abstractNumId w:val="36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38"/>
  </w:num>
  <w:num w:numId="25">
    <w:abstractNumId w:val="20"/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9"/>
  </w:num>
  <w:num w:numId="31">
    <w:abstractNumId w:val="30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5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0EF2"/>
    <w:rsid w:val="00014174"/>
    <w:rsid w:val="000239FD"/>
    <w:rsid w:val="00023A6A"/>
    <w:rsid w:val="000265BF"/>
    <w:rsid w:val="00034F58"/>
    <w:rsid w:val="00040A4A"/>
    <w:rsid w:val="00041339"/>
    <w:rsid w:val="00041950"/>
    <w:rsid w:val="00041E40"/>
    <w:rsid w:val="00053272"/>
    <w:rsid w:val="00054A2F"/>
    <w:rsid w:val="000561B6"/>
    <w:rsid w:val="00064133"/>
    <w:rsid w:val="00077139"/>
    <w:rsid w:val="00086BF4"/>
    <w:rsid w:val="00094068"/>
    <w:rsid w:val="000B6192"/>
    <w:rsid w:val="000D2A25"/>
    <w:rsid w:val="000D32FE"/>
    <w:rsid w:val="000D43B9"/>
    <w:rsid w:val="001038EF"/>
    <w:rsid w:val="001056A8"/>
    <w:rsid w:val="001112D0"/>
    <w:rsid w:val="0011422F"/>
    <w:rsid w:val="001213AC"/>
    <w:rsid w:val="00150059"/>
    <w:rsid w:val="00150B77"/>
    <w:rsid w:val="00162BB1"/>
    <w:rsid w:val="0016603B"/>
    <w:rsid w:val="001663B9"/>
    <w:rsid w:val="00170963"/>
    <w:rsid w:val="00196A41"/>
    <w:rsid w:val="00196D78"/>
    <w:rsid w:val="001A0CD8"/>
    <w:rsid w:val="001B0FA1"/>
    <w:rsid w:val="001F750A"/>
    <w:rsid w:val="00206EA2"/>
    <w:rsid w:val="0021649A"/>
    <w:rsid w:val="0022405F"/>
    <w:rsid w:val="002417DA"/>
    <w:rsid w:val="00256D2A"/>
    <w:rsid w:val="00260CC0"/>
    <w:rsid w:val="002754E5"/>
    <w:rsid w:val="00283720"/>
    <w:rsid w:val="002911CF"/>
    <w:rsid w:val="00293074"/>
    <w:rsid w:val="002C4515"/>
    <w:rsid w:val="002D0795"/>
    <w:rsid w:val="002D1E3C"/>
    <w:rsid w:val="002D3511"/>
    <w:rsid w:val="002D574C"/>
    <w:rsid w:val="002D7B6E"/>
    <w:rsid w:val="002F0BA7"/>
    <w:rsid w:val="002F3AFF"/>
    <w:rsid w:val="002F7D64"/>
    <w:rsid w:val="00303C13"/>
    <w:rsid w:val="0030707B"/>
    <w:rsid w:val="00321D93"/>
    <w:rsid w:val="00332554"/>
    <w:rsid w:val="0034588F"/>
    <w:rsid w:val="00352986"/>
    <w:rsid w:val="0035506C"/>
    <w:rsid w:val="00361501"/>
    <w:rsid w:val="00371298"/>
    <w:rsid w:val="0039350C"/>
    <w:rsid w:val="003A19DF"/>
    <w:rsid w:val="003A404E"/>
    <w:rsid w:val="003A7C2B"/>
    <w:rsid w:val="003B125C"/>
    <w:rsid w:val="003B67D7"/>
    <w:rsid w:val="003B7ACB"/>
    <w:rsid w:val="003C4C2A"/>
    <w:rsid w:val="003D05B1"/>
    <w:rsid w:val="003D0B5A"/>
    <w:rsid w:val="00402D4D"/>
    <w:rsid w:val="00406D85"/>
    <w:rsid w:val="00420902"/>
    <w:rsid w:val="004214AD"/>
    <w:rsid w:val="004250D0"/>
    <w:rsid w:val="00427C3D"/>
    <w:rsid w:val="004319EC"/>
    <w:rsid w:val="004442BC"/>
    <w:rsid w:val="00451C74"/>
    <w:rsid w:val="00452689"/>
    <w:rsid w:val="00476E5D"/>
    <w:rsid w:val="00483304"/>
    <w:rsid w:val="00487609"/>
    <w:rsid w:val="004B194E"/>
    <w:rsid w:val="004B241E"/>
    <w:rsid w:val="004B3415"/>
    <w:rsid w:val="004B640A"/>
    <w:rsid w:val="004C021C"/>
    <w:rsid w:val="004C2E82"/>
    <w:rsid w:val="004C31E1"/>
    <w:rsid w:val="004D2006"/>
    <w:rsid w:val="004D6CCB"/>
    <w:rsid w:val="004D7AF2"/>
    <w:rsid w:val="004E1D59"/>
    <w:rsid w:val="004E3E99"/>
    <w:rsid w:val="0050765F"/>
    <w:rsid w:val="00521037"/>
    <w:rsid w:val="00547C56"/>
    <w:rsid w:val="00550EF6"/>
    <w:rsid w:val="005614EA"/>
    <w:rsid w:val="00565A76"/>
    <w:rsid w:val="00571F52"/>
    <w:rsid w:val="00582B7F"/>
    <w:rsid w:val="0059258D"/>
    <w:rsid w:val="0059715A"/>
    <w:rsid w:val="005B251D"/>
    <w:rsid w:val="005B2EC2"/>
    <w:rsid w:val="005C2F55"/>
    <w:rsid w:val="005D2CB5"/>
    <w:rsid w:val="005D749C"/>
    <w:rsid w:val="005E194D"/>
    <w:rsid w:val="005E7EF4"/>
    <w:rsid w:val="005F09E9"/>
    <w:rsid w:val="0061332F"/>
    <w:rsid w:val="0061350B"/>
    <w:rsid w:val="00616E8B"/>
    <w:rsid w:val="0062015E"/>
    <w:rsid w:val="006314E0"/>
    <w:rsid w:val="00643D3C"/>
    <w:rsid w:val="0064698F"/>
    <w:rsid w:val="0065614C"/>
    <w:rsid w:val="0065641F"/>
    <w:rsid w:val="00660E61"/>
    <w:rsid w:val="00662F1A"/>
    <w:rsid w:val="006648A4"/>
    <w:rsid w:val="006665A7"/>
    <w:rsid w:val="00670EEC"/>
    <w:rsid w:val="006716B5"/>
    <w:rsid w:val="0068445F"/>
    <w:rsid w:val="006A3E56"/>
    <w:rsid w:val="006B2D96"/>
    <w:rsid w:val="006D03F6"/>
    <w:rsid w:val="006E732B"/>
    <w:rsid w:val="006F0893"/>
    <w:rsid w:val="007152BA"/>
    <w:rsid w:val="00717D81"/>
    <w:rsid w:val="00720F0C"/>
    <w:rsid w:val="00724821"/>
    <w:rsid w:val="00727E90"/>
    <w:rsid w:val="0073502B"/>
    <w:rsid w:val="007455E2"/>
    <w:rsid w:val="00746D04"/>
    <w:rsid w:val="007603F3"/>
    <w:rsid w:val="007604A9"/>
    <w:rsid w:val="00762AED"/>
    <w:rsid w:val="00767689"/>
    <w:rsid w:val="00772371"/>
    <w:rsid w:val="00776E62"/>
    <w:rsid w:val="0079351D"/>
    <w:rsid w:val="00794B8B"/>
    <w:rsid w:val="00797E3A"/>
    <w:rsid w:val="007A1355"/>
    <w:rsid w:val="007B1C9C"/>
    <w:rsid w:val="007B42BD"/>
    <w:rsid w:val="007B5E21"/>
    <w:rsid w:val="007D1319"/>
    <w:rsid w:val="007D3993"/>
    <w:rsid w:val="007D5A39"/>
    <w:rsid w:val="00801938"/>
    <w:rsid w:val="008062B6"/>
    <w:rsid w:val="0081164A"/>
    <w:rsid w:val="00824273"/>
    <w:rsid w:val="00835214"/>
    <w:rsid w:val="0083669C"/>
    <w:rsid w:val="00841E92"/>
    <w:rsid w:val="00847101"/>
    <w:rsid w:val="00850FD5"/>
    <w:rsid w:val="00851986"/>
    <w:rsid w:val="00853268"/>
    <w:rsid w:val="00853FC5"/>
    <w:rsid w:val="00880A2F"/>
    <w:rsid w:val="008825C5"/>
    <w:rsid w:val="0088380B"/>
    <w:rsid w:val="008A7DF2"/>
    <w:rsid w:val="008B464C"/>
    <w:rsid w:val="008D04CF"/>
    <w:rsid w:val="008F601C"/>
    <w:rsid w:val="00903032"/>
    <w:rsid w:val="0090648C"/>
    <w:rsid w:val="00916B93"/>
    <w:rsid w:val="00923E02"/>
    <w:rsid w:val="00925E03"/>
    <w:rsid w:val="0095003E"/>
    <w:rsid w:val="00963328"/>
    <w:rsid w:val="00983752"/>
    <w:rsid w:val="00984010"/>
    <w:rsid w:val="00985CBD"/>
    <w:rsid w:val="00986336"/>
    <w:rsid w:val="00986502"/>
    <w:rsid w:val="00996A21"/>
    <w:rsid w:val="009A4275"/>
    <w:rsid w:val="009B16CE"/>
    <w:rsid w:val="009C15C3"/>
    <w:rsid w:val="009C40D5"/>
    <w:rsid w:val="009C5342"/>
    <w:rsid w:val="009C7BCE"/>
    <w:rsid w:val="009D38E2"/>
    <w:rsid w:val="009D6101"/>
    <w:rsid w:val="009E2847"/>
    <w:rsid w:val="009E56C9"/>
    <w:rsid w:val="009E6F60"/>
    <w:rsid w:val="009F1F6C"/>
    <w:rsid w:val="009F430E"/>
    <w:rsid w:val="009F4E85"/>
    <w:rsid w:val="00A142F9"/>
    <w:rsid w:val="00A17B9C"/>
    <w:rsid w:val="00A34972"/>
    <w:rsid w:val="00A4674D"/>
    <w:rsid w:val="00A5283E"/>
    <w:rsid w:val="00A543C6"/>
    <w:rsid w:val="00A63EE6"/>
    <w:rsid w:val="00A7211A"/>
    <w:rsid w:val="00A74BDD"/>
    <w:rsid w:val="00A750E0"/>
    <w:rsid w:val="00A867A1"/>
    <w:rsid w:val="00A87DC3"/>
    <w:rsid w:val="00A87ECA"/>
    <w:rsid w:val="00A953A7"/>
    <w:rsid w:val="00AA11FB"/>
    <w:rsid w:val="00AA311E"/>
    <w:rsid w:val="00AA3D64"/>
    <w:rsid w:val="00AC09B2"/>
    <w:rsid w:val="00AC27D7"/>
    <w:rsid w:val="00AC2F40"/>
    <w:rsid w:val="00AC6D3F"/>
    <w:rsid w:val="00AE0F83"/>
    <w:rsid w:val="00AE5A41"/>
    <w:rsid w:val="00AE5CF9"/>
    <w:rsid w:val="00AE74ED"/>
    <w:rsid w:val="00AF1F30"/>
    <w:rsid w:val="00AF640D"/>
    <w:rsid w:val="00B00E71"/>
    <w:rsid w:val="00B0505E"/>
    <w:rsid w:val="00B059B9"/>
    <w:rsid w:val="00B14475"/>
    <w:rsid w:val="00B2381D"/>
    <w:rsid w:val="00B26AA7"/>
    <w:rsid w:val="00B320E2"/>
    <w:rsid w:val="00B3263A"/>
    <w:rsid w:val="00B36355"/>
    <w:rsid w:val="00B57CC6"/>
    <w:rsid w:val="00B60B18"/>
    <w:rsid w:val="00B63A5C"/>
    <w:rsid w:val="00B716A1"/>
    <w:rsid w:val="00B73A77"/>
    <w:rsid w:val="00B920FD"/>
    <w:rsid w:val="00B96893"/>
    <w:rsid w:val="00BA373F"/>
    <w:rsid w:val="00BA5BB2"/>
    <w:rsid w:val="00BB123E"/>
    <w:rsid w:val="00BB315E"/>
    <w:rsid w:val="00BB4DDD"/>
    <w:rsid w:val="00BC2F5B"/>
    <w:rsid w:val="00BC606D"/>
    <w:rsid w:val="00BC7002"/>
    <w:rsid w:val="00BD2D16"/>
    <w:rsid w:val="00BD2E55"/>
    <w:rsid w:val="00BD3F54"/>
    <w:rsid w:val="00BF0704"/>
    <w:rsid w:val="00BF385D"/>
    <w:rsid w:val="00BF6831"/>
    <w:rsid w:val="00BF78A1"/>
    <w:rsid w:val="00C070B9"/>
    <w:rsid w:val="00C2732A"/>
    <w:rsid w:val="00C30D17"/>
    <w:rsid w:val="00C317A4"/>
    <w:rsid w:val="00C34344"/>
    <w:rsid w:val="00C526CA"/>
    <w:rsid w:val="00C569E2"/>
    <w:rsid w:val="00C605DB"/>
    <w:rsid w:val="00C75929"/>
    <w:rsid w:val="00C80AA6"/>
    <w:rsid w:val="00C9109E"/>
    <w:rsid w:val="00C949A6"/>
    <w:rsid w:val="00C954E1"/>
    <w:rsid w:val="00CA3F34"/>
    <w:rsid w:val="00CC0C89"/>
    <w:rsid w:val="00CC654A"/>
    <w:rsid w:val="00CE3457"/>
    <w:rsid w:val="00CF2EA9"/>
    <w:rsid w:val="00D031B7"/>
    <w:rsid w:val="00D06A0B"/>
    <w:rsid w:val="00D1463C"/>
    <w:rsid w:val="00D15658"/>
    <w:rsid w:val="00D23B9F"/>
    <w:rsid w:val="00D254A0"/>
    <w:rsid w:val="00D25FDB"/>
    <w:rsid w:val="00D26FFC"/>
    <w:rsid w:val="00D31745"/>
    <w:rsid w:val="00D32C37"/>
    <w:rsid w:val="00D4379E"/>
    <w:rsid w:val="00D43E1E"/>
    <w:rsid w:val="00D550C3"/>
    <w:rsid w:val="00D5550F"/>
    <w:rsid w:val="00D56BC7"/>
    <w:rsid w:val="00D83879"/>
    <w:rsid w:val="00D91EAE"/>
    <w:rsid w:val="00DA3817"/>
    <w:rsid w:val="00DC7979"/>
    <w:rsid w:val="00DD049A"/>
    <w:rsid w:val="00DF6365"/>
    <w:rsid w:val="00DF68BA"/>
    <w:rsid w:val="00DF6F97"/>
    <w:rsid w:val="00E052E6"/>
    <w:rsid w:val="00E07199"/>
    <w:rsid w:val="00E21218"/>
    <w:rsid w:val="00E25A46"/>
    <w:rsid w:val="00E426E8"/>
    <w:rsid w:val="00E438A7"/>
    <w:rsid w:val="00E445CF"/>
    <w:rsid w:val="00E4742B"/>
    <w:rsid w:val="00E71286"/>
    <w:rsid w:val="00E72E3D"/>
    <w:rsid w:val="00E86E2C"/>
    <w:rsid w:val="00E90D02"/>
    <w:rsid w:val="00E93265"/>
    <w:rsid w:val="00EB1924"/>
    <w:rsid w:val="00EB260A"/>
    <w:rsid w:val="00EC1FF8"/>
    <w:rsid w:val="00EC222F"/>
    <w:rsid w:val="00EC316B"/>
    <w:rsid w:val="00EE0DC4"/>
    <w:rsid w:val="00EE2393"/>
    <w:rsid w:val="00EE40C7"/>
    <w:rsid w:val="00EE6004"/>
    <w:rsid w:val="00EE7B11"/>
    <w:rsid w:val="00F02DFA"/>
    <w:rsid w:val="00F17CFB"/>
    <w:rsid w:val="00F20C41"/>
    <w:rsid w:val="00F2256B"/>
    <w:rsid w:val="00F2394C"/>
    <w:rsid w:val="00F32E72"/>
    <w:rsid w:val="00F47E17"/>
    <w:rsid w:val="00F504CD"/>
    <w:rsid w:val="00F53B4C"/>
    <w:rsid w:val="00F57835"/>
    <w:rsid w:val="00F67DA2"/>
    <w:rsid w:val="00F72F8B"/>
    <w:rsid w:val="00F73128"/>
    <w:rsid w:val="00F87DBF"/>
    <w:rsid w:val="00F90231"/>
    <w:rsid w:val="00F90BFB"/>
    <w:rsid w:val="00F92C51"/>
    <w:rsid w:val="00FA6714"/>
    <w:rsid w:val="00FC04B2"/>
    <w:rsid w:val="00FC0533"/>
    <w:rsid w:val="00FC30D3"/>
    <w:rsid w:val="00FC6252"/>
    <w:rsid w:val="00FC7269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F98563"/>
  <w15:docId w15:val="{D331F12F-4608-4E6F-93A5-FF2C278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character" w:customStyle="1" w:styleId="texto01">
    <w:name w:val="texto01"/>
    <w:basedOn w:val="Fontepargpadro"/>
    <w:rsid w:val="009C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67D7D95334D5484BB8DD741908CED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ED6D2-4D9A-48CD-87C8-8420679185C2}"/>
      </w:docPartPr>
      <w:docPartBody>
        <w:p w:rsidR="00DD0FA5" w:rsidRDefault="00DD0FA5" w:rsidP="00DD0FA5">
          <w:pPr>
            <w:pStyle w:val="67D7D95334D5484BB8DD741908CED019"/>
          </w:pPr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6E"/>
    <w:rsid w:val="00005BAE"/>
    <w:rsid w:val="00031178"/>
    <w:rsid w:val="00067154"/>
    <w:rsid w:val="001F6F96"/>
    <w:rsid w:val="002B0A6E"/>
    <w:rsid w:val="00634EE0"/>
    <w:rsid w:val="007B5747"/>
    <w:rsid w:val="00A07BEA"/>
    <w:rsid w:val="00A73375"/>
    <w:rsid w:val="00CC1EC6"/>
    <w:rsid w:val="00D45097"/>
    <w:rsid w:val="00D60916"/>
    <w:rsid w:val="00DD0FA5"/>
    <w:rsid w:val="00E03AB4"/>
    <w:rsid w:val="00F51F21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0FA5"/>
    <w:rPr>
      <w:color w:val="808080"/>
    </w:rPr>
  </w:style>
  <w:style w:type="paragraph" w:customStyle="1" w:styleId="67D7D95334D5484BB8DD741908CED019">
    <w:name w:val="67D7D95334D5484BB8DD741908CED019"/>
    <w:rsid w:val="00DD0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67ED-81D7-446C-ACF3-9CB1D876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de estantes de aço para a Unidade de Gestão de Ativos de TIC no novo depósito de Jaboatão</dc:subject>
  <dc:creator>rrrb</dc:creator>
  <cp:keywords/>
  <dc:description/>
  <cp:lastModifiedBy>Liana Beatriz dos S Barreto de Souza</cp:lastModifiedBy>
  <cp:revision>3</cp:revision>
  <cp:lastPrinted>2018-07-26T20:15:00Z</cp:lastPrinted>
  <dcterms:created xsi:type="dcterms:W3CDTF">2018-07-26T20:28:00Z</dcterms:created>
  <dcterms:modified xsi:type="dcterms:W3CDTF">2018-07-27T21:49:00Z</dcterms:modified>
</cp:coreProperties>
</file>